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B69C1" w:rsidR="009A50C0" w:rsidP="00E84B95" w:rsidRDefault="009A50C0" w14:paraId="430A5A88" w14:textId="77777777">
      <w:pPr>
        <w:spacing w:after="240"/>
        <w:jc w:val="center"/>
        <w:rPr>
          <w:rFonts w:ascii="Times New Roman" w:hAnsi="Times New Roman" w:cs="Times New Roman"/>
          <w:b/>
          <w:i/>
          <w:sz w:val="32"/>
        </w:rPr>
      </w:pPr>
      <w:bookmarkStart w:name="_Toc183526049" w:id="0"/>
      <w:bookmarkStart w:name="_Toc185414358" w:id="1"/>
      <w:r w:rsidRPr="000B69C1">
        <w:rPr>
          <w:rFonts w:ascii="Times New Roman" w:hAnsi="Times New Roman" w:cs="Times New Roman"/>
          <w:b/>
          <w:i/>
          <w:sz w:val="32"/>
        </w:rPr>
        <w:t>Revue de droit d’Ottawa</w:t>
      </w:r>
    </w:p>
    <w:p w:rsidRPr="000B69C1" w:rsidR="009A50C0" w:rsidP="009A50C0" w:rsidRDefault="009A50C0" w14:paraId="7F3FF988" w14:textId="77777777">
      <w:pPr>
        <w:jc w:val="center"/>
        <w:rPr>
          <w:rFonts w:ascii="Times New Roman" w:hAnsi="Times New Roman" w:cs="Times New Roman"/>
          <w:b/>
          <w:sz w:val="28"/>
        </w:rPr>
      </w:pPr>
      <w:r w:rsidRPr="000B69C1">
        <w:rPr>
          <w:rFonts w:ascii="Times New Roman" w:hAnsi="Times New Roman" w:cs="Times New Roman"/>
          <w:b/>
          <w:sz w:val="28"/>
        </w:rPr>
        <w:t>Exercice de révision pour les futurs rédacteurs</w:t>
      </w:r>
      <w:r>
        <w:rPr>
          <w:rFonts w:ascii="Times New Roman" w:hAnsi="Times New Roman" w:cs="Times New Roman"/>
          <w:b/>
          <w:sz w:val="28"/>
        </w:rPr>
        <w:t xml:space="preserve"> associés</w:t>
      </w:r>
      <w:r w:rsidRPr="000B69C1">
        <w:rPr>
          <w:rFonts w:ascii="Times New Roman" w:hAnsi="Times New Roman" w:cs="Times New Roman"/>
          <w:b/>
          <w:sz w:val="28"/>
        </w:rPr>
        <w:t xml:space="preserve"> et rédactrices associé</w:t>
      </w:r>
      <w:r>
        <w:rPr>
          <w:rFonts w:ascii="Times New Roman" w:hAnsi="Times New Roman" w:cs="Times New Roman"/>
          <w:b/>
          <w:sz w:val="28"/>
        </w:rPr>
        <w:t>e</w:t>
      </w:r>
      <w:r w:rsidRPr="000B69C1">
        <w:rPr>
          <w:rFonts w:ascii="Times New Roman" w:hAnsi="Times New Roman" w:cs="Times New Roman"/>
          <w:b/>
          <w:sz w:val="28"/>
        </w:rPr>
        <w:t>s</w:t>
      </w:r>
    </w:p>
    <w:p w:rsidRPr="000B69C1" w:rsidR="009A50C0" w:rsidP="00E84B95" w:rsidRDefault="009A50C0" w14:paraId="534A2C68" w14:textId="5B922DB9">
      <w:pPr>
        <w:spacing w:after="240"/>
        <w:jc w:val="center"/>
        <w:rPr>
          <w:rFonts w:ascii="Times New Roman" w:hAnsi="Times New Roman" w:cs="Times New Roman"/>
          <w:b/>
          <w:sz w:val="28"/>
        </w:rPr>
      </w:pPr>
      <w:r w:rsidRPr="000B69C1">
        <w:rPr>
          <w:rFonts w:ascii="Times New Roman" w:hAnsi="Times New Roman" w:cs="Times New Roman"/>
          <w:b/>
          <w:sz w:val="28"/>
        </w:rPr>
        <w:t>20</w:t>
      </w:r>
      <w:r>
        <w:rPr>
          <w:rFonts w:ascii="Times New Roman" w:hAnsi="Times New Roman" w:cs="Times New Roman"/>
          <w:b/>
          <w:sz w:val="28"/>
        </w:rPr>
        <w:t>2</w:t>
      </w:r>
      <w:r w:rsidR="00E05921">
        <w:rPr>
          <w:rFonts w:ascii="Times New Roman" w:hAnsi="Times New Roman" w:cs="Times New Roman"/>
          <w:b/>
          <w:sz w:val="28"/>
        </w:rPr>
        <w:t>6</w:t>
      </w:r>
      <w:r w:rsidRPr="000B69C1">
        <w:rPr>
          <w:rFonts w:ascii="Times New Roman" w:hAnsi="Times New Roman" w:cs="Times New Roman"/>
          <w:b/>
          <w:sz w:val="28"/>
        </w:rPr>
        <w:t>–202</w:t>
      </w:r>
      <w:r w:rsidR="00E05921">
        <w:rPr>
          <w:rFonts w:ascii="Times New Roman" w:hAnsi="Times New Roman" w:cs="Times New Roman"/>
          <w:b/>
          <w:sz w:val="28"/>
        </w:rPr>
        <w:t>7</w:t>
      </w:r>
    </w:p>
    <w:p w:rsidRPr="000B69C1" w:rsidR="009A50C0" w:rsidP="009A50C0" w:rsidRDefault="009A50C0" w14:paraId="5F967715" w14:textId="77777777">
      <w:pPr>
        <w:jc w:val="center"/>
        <w:rPr>
          <w:rFonts w:ascii="Times New Roman" w:hAnsi="Times New Roman" w:cs="Times New Roman"/>
          <w:b/>
        </w:rPr>
      </w:pPr>
      <w:r w:rsidRPr="000B69C1">
        <w:rPr>
          <w:rFonts w:ascii="Times New Roman" w:hAnsi="Times New Roman" w:cs="Times New Roman"/>
          <w:b/>
        </w:rPr>
        <w:t>PARTIE I : CORRECTION DU TEXTE</w:t>
      </w:r>
    </w:p>
    <w:p w:rsidR="009A50C0" w:rsidP="00952D33" w:rsidRDefault="009A50C0" w14:paraId="78D5F44E" w14:textId="77777777">
      <w:pPr>
        <w:pStyle w:val="Paragraph"/>
        <w:spacing w:after="0" w:line="480" w:lineRule="auto"/>
        <w:ind w:firstLine="0"/>
        <w:rPr>
          <w:rFonts w:cs="Times New Roman (Body CS)"/>
          <w:b/>
          <w:bCs/>
          <w:caps/>
        </w:rPr>
      </w:pPr>
    </w:p>
    <w:p w:rsidRPr="00982CEB" w:rsidR="00952D33" w:rsidP="00952D33" w:rsidRDefault="00952D33" w14:paraId="757A2147" w14:textId="7EBECD46">
      <w:pPr>
        <w:pStyle w:val="Paragraph"/>
        <w:spacing w:after="0" w:line="480" w:lineRule="auto"/>
        <w:ind w:firstLine="0"/>
        <w:rPr>
          <w:rFonts w:cs="Times New Roman (Body CS)"/>
          <w:b/>
          <w:bCs/>
          <w:caps/>
        </w:rPr>
      </w:pPr>
      <w:r w:rsidRPr="00A03288">
        <w:rPr>
          <w:rFonts w:cs="Times New Roman (Body CS)"/>
          <w:b/>
          <w:bCs/>
          <w:caps/>
        </w:rPr>
        <w:t>I.</w:t>
      </w:r>
      <w:r w:rsidRPr="00A03288" w:rsidR="0088700E">
        <w:rPr>
          <w:rFonts w:cs="Times New Roman (Body CS)"/>
          <w:b/>
          <w:bCs/>
          <w:caps/>
        </w:rPr>
        <w:t xml:space="preserve"> </w:t>
      </w:r>
      <w:r w:rsidRPr="00A03288">
        <w:rPr>
          <w:rFonts w:cs="Times New Roman (Body CS)"/>
          <w:b/>
          <w:bCs/>
          <w:caps/>
        </w:rPr>
        <w:t xml:space="preserve">Les compétences fédérales pouvant régir </w:t>
      </w:r>
      <w:r w:rsidRPr="00A03288" w:rsidR="00E16CC2">
        <w:rPr>
          <w:rFonts w:cs="Times New Roman (Body CS)"/>
          <w:b/>
          <w:bCs/>
          <w:caps/>
        </w:rPr>
        <w:t>la matière</w:t>
      </w:r>
    </w:p>
    <w:p w:rsidRPr="0088700E" w:rsidR="00952D33" w:rsidP="00A03288" w:rsidRDefault="00952D33" w14:paraId="29A7B0B7" w14:textId="5AA13930">
      <w:pPr>
        <w:pStyle w:val="Paragraph"/>
        <w:spacing w:after="240" w:line="240" w:lineRule="auto"/>
        <w:ind w:left="567" w:hanging="567"/>
      </w:pPr>
      <w:bookmarkStart w:name="_Toc180829081" w:id="2"/>
      <w:bookmarkStart w:name="_Toc183526050" w:id="3"/>
      <w:bookmarkStart w:name="_Toc185414359" w:id="4"/>
      <w:bookmarkEnd w:id="0"/>
      <w:bookmarkEnd w:id="1"/>
      <w:r w:rsidRPr="00A03288">
        <w:rPr>
          <w:i/>
        </w:rPr>
        <w:t>A.</w:t>
      </w:r>
      <w:r w:rsidR="00016622">
        <w:tab/>
      </w:r>
      <w:r w:rsidRPr="0088700E">
        <w:t>La voie improbable, voire carrément impossible</w:t>
      </w:r>
      <w:r w:rsidR="00F13271">
        <w:t xml:space="preserve"> </w:t>
      </w:r>
      <w:r w:rsidRPr="0088700E">
        <w:t xml:space="preserve">: </w:t>
      </w:r>
      <w:r w:rsidR="00F13271">
        <w:t>L</w:t>
      </w:r>
      <w:r w:rsidRPr="0088700E">
        <w:t>égiférer pour la paix, l’ordre et le bon gouvernement du Canada</w:t>
      </w:r>
      <w:bookmarkEnd w:id="2"/>
      <w:bookmarkEnd w:id="3"/>
      <w:bookmarkEnd w:id="4"/>
    </w:p>
    <w:p w:rsidRPr="003E7B70" w:rsidR="00952D33" w:rsidP="00D86216" w:rsidRDefault="00952D33" w14:paraId="21331A60" w14:textId="03051D89">
      <w:pPr>
        <w:pStyle w:val="Paragraph"/>
        <w:spacing w:after="0" w:line="480" w:lineRule="auto"/>
        <w:jc w:val="left"/>
      </w:pPr>
      <w:r w:rsidRPr="003E7B70">
        <w:t>Le Parlement fédéral dispose de la compétence</w:t>
      </w:r>
      <w:r w:rsidR="00036AFA">
        <w:t xml:space="preserve"> </w:t>
      </w:r>
      <w:r w:rsidRPr="003E7B70">
        <w:t>« </w:t>
      </w:r>
      <w:r w:rsidRPr="003E7B70" w:rsidR="00313F42">
        <w:t xml:space="preserve">de </w:t>
      </w:r>
      <w:r w:rsidRPr="003E7B70">
        <w:t>faire des lois pour la paix, l’ordre et le bon gouvernement du Canada relativement à toutes les matières ne tombant pas dans les catégories de sujets … exclusivement assignés aux législatures des provinces »</w:t>
      </w:r>
      <w:bookmarkStart w:name="_Ref188787300" w:id="5"/>
      <w:r w:rsidRPr="003E7B70">
        <w:rPr>
          <w:rStyle w:val="FootnoteReference"/>
        </w:rPr>
        <w:footnoteReference w:id="2"/>
      </w:r>
      <w:bookmarkEnd w:id="5"/>
      <w:r w:rsidRPr="003E7B70">
        <w:t xml:space="preserve">. </w:t>
      </w:r>
      <w:r w:rsidR="00B42DF3">
        <w:t xml:space="preserve">L’état du droit actuel veut que </w:t>
      </w:r>
      <w:r>
        <w:t>c</w:t>
      </w:r>
      <w:r w:rsidRPr="003E7B70">
        <w:t xml:space="preserve">ette compétence </w:t>
      </w:r>
      <w:r w:rsidR="00B42DF3">
        <w:t>se divise en</w:t>
      </w:r>
      <w:r w:rsidRPr="003E7B70">
        <w:t xml:space="preserve"> </w:t>
      </w:r>
      <w:r w:rsidR="00E16CC2">
        <w:t>deux pouvoirs clés : le</w:t>
      </w:r>
      <w:r w:rsidRPr="003E7B70">
        <w:t xml:space="preserve"> pouvoir d’urgence nationale</w:t>
      </w:r>
      <w:bookmarkStart w:name="_Ref181868823" w:id="6"/>
      <w:r w:rsidRPr="003E7B70">
        <w:t xml:space="preserve"> et le pouvoir résiduaire d’intérêt national</w:t>
      </w:r>
      <w:bookmarkEnd w:id="6"/>
      <w:r w:rsidRPr="003E7B70">
        <w:t>.</w:t>
      </w:r>
    </w:p>
    <w:p w:rsidRPr="003E7B70" w:rsidR="00952D33" w:rsidP="00D86216" w:rsidRDefault="00036AFA" w14:paraId="408789B3" w14:textId="38EACD31">
      <w:pPr>
        <w:pStyle w:val="Paragraph"/>
        <w:spacing w:after="0" w:line="480" w:lineRule="auto"/>
        <w:jc w:val="left"/>
      </w:pPr>
      <w:r>
        <w:t>L</w:t>
      </w:r>
      <w:r w:rsidR="00E16CC2">
        <w:t xml:space="preserve">es termes </w:t>
      </w:r>
      <w:r w:rsidRPr="00313F42" w:rsidR="00952D33">
        <w:rPr>
          <w:i/>
          <w:iCs/>
        </w:rPr>
        <w:t>paix</w:t>
      </w:r>
      <w:r w:rsidRPr="003E7B70" w:rsidR="00952D33">
        <w:t xml:space="preserve"> et </w:t>
      </w:r>
      <w:r w:rsidRPr="00313F42" w:rsidR="00952D33">
        <w:rPr>
          <w:i/>
          <w:iCs/>
        </w:rPr>
        <w:t>ordre</w:t>
      </w:r>
      <w:r w:rsidRPr="003E7B70" w:rsidR="00952D33">
        <w:t xml:space="preserve"> </w:t>
      </w:r>
      <w:r w:rsidR="00E16CC2">
        <w:t>sont généralement associé</w:t>
      </w:r>
      <w:r w:rsidR="00F13271">
        <w:t>e</w:t>
      </w:r>
      <w:r w:rsidR="00E16CC2">
        <w:t>s à des</w:t>
      </w:r>
      <w:r w:rsidRPr="003E7B70" w:rsidR="00952D33">
        <w:t xml:space="preserve"> situations d’urgence</w:t>
      </w:r>
      <w:r w:rsidR="001B3568">
        <w:t>s</w:t>
      </w:r>
      <w:r w:rsidRPr="003E7B70" w:rsidR="00952D33">
        <w:t xml:space="preserve">. </w:t>
      </w:r>
      <w:r w:rsidR="00952D33">
        <w:t xml:space="preserve">La magistrature </w:t>
      </w:r>
      <w:r w:rsidR="00E16CC2">
        <w:t xml:space="preserve">en a conclu autant, précisant que </w:t>
      </w:r>
      <w:r w:rsidR="00952D33">
        <w:t>le</w:t>
      </w:r>
      <w:r w:rsidRPr="003E7B70" w:rsidR="00952D33">
        <w:t xml:space="preserve"> Parlement dispose d’un pouvoir pour intervenir en situation d’urgence nationale </w:t>
      </w:r>
      <w:r w:rsidR="00952D33">
        <w:t>lorsque</w:t>
      </w:r>
      <w:r w:rsidRPr="003E7B70" w:rsidR="00952D33">
        <w:t xml:space="preserve"> deux conditions sont remplies</w:t>
      </w:r>
      <w:bookmarkStart w:name="_Ref182316898" w:id="7"/>
      <w:r w:rsidRPr="003E7B70" w:rsidR="00952D33">
        <w:rPr>
          <w:rStyle w:val="FootnoteReference"/>
        </w:rPr>
        <w:footnoteReference w:id="3"/>
      </w:r>
      <w:bookmarkEnd w:id="7"/>
      <w:r w:rsidRPr="003E7B70" w:rsidR="00952D33">
        <w:t xml:space="preserve">. Premièrement, le libellé de l’action du gouvernement fédéral </w:t>
      </w:r>
      <w:r>
        <w:t>ainsi que</w:t>
      </w:r>
      <w:r w:rsidRPr="003E7B70" w:rsidR="00952D33">
        <w:t xml:space="preserve"> les preuves intrinsèque et extrinsèque entourant son adoption doivent </w:t>
      </w:r>
      <w:r>
        <w:t>établir</w:t>
      </w:r>
      <w:r w:rsidR="001B3568">
        <w:t>,</w:t>
      </w:r>
      <w:r>
        <w:t xml:space="preserve"> de manière claire et convaincante </w:t>
      </w:r>
      <w:r w:rsidRPr="003E7B70" w:rsidR="00952D33">
        <w:t xml:space="preserve">que celle-ci émane d’une véritable crise nationale, qu’elle soit </w:t>
      </w:r>
      <w:r w:rsidR="00021FFF">
        <w:t>réelle</w:t>
      </w:r>
      <w:r w:rsidRPr="003E7B70" w:rsidR="00952D33">
        <w:t xml:space="preserve"> ou perçue. Deuxièmement, les mesures prises pour faire face à cette crise nationale doivent être temporaire</w:t>
      </w:r>
      <w:r>
        <w:t xml:space="preserve"> et non</w:t>
      </w:r>
      <w:r w:rsidRPr="003E7B70" w:rsidR="00952D33">
        <w:t xml:space="preserve"> </w:t>
      </w:r>
      <w:r w:rsidRPr="003E7B70">
        <w:t>permanen</w:t>
      </w:r>
      <w:r>
        <w:t>te en nature</w:t>
      </w:r>
      <w:r w:rsidRPr="003E7B70" w:rsidR="00952D33">
        <w:t xml:space="preserve">. </w:t>
      </w:r>
      <w:r w:rsidR="00952D33">
        <w:t xml:space="preserve">Bien que ce </w:t>
      </w:r>
      <w:r w:rsidR="00E16CC2">
        <w:t>cadre</w:t>
      </w:r>
      <w:r w:rsidR="00952D33">
        <w:t xml:space="preserve"> jurisprudentiel </w:t>
      </w:r>
      <w:r w:rsidR="00E16CC2">
        <w:t xml:space="preserve">balise </w:t>
      </w:r>
      <w:r>
        <w:t xml:space="preserve">les fondements de </w:t>
      </w:r>
      <w:r w:rsidR="00E16CC2">
        <w:t>l’exercice</w:t>
      </w:r>
      <w:r w:rsidR="00952D33">
        <w:t xml:space="preserve"> </w:t>
      </w:r>
      <w:r w:rsidR="00E16CC2">
        <w:t xml:space="preserve">du </w:t>
      </w:r>
      <w:r w:rsidR="00952D33">
        <w:t xml:space="preserve">pouvoir d’urgence nationale, </w:t>
      </w:r>
      <w:r w:rsidRPr="003E7B70" w:rsidR="00952D33">
        <w:t xml:space="preserve">l’ordre fédéral a </w:t>
      </w:r>
      <w:r w:rsidR="00626A36">
        <w:t>établi</w:t>
      </w:r>
      <w:r w:rsidRPr="003E7B70" w:rsidR="00952D33">
        <w:t xml:space="preserve"> </w:t>
      </w:r>
      <w:r w:rsidR="00952D33">
        <w:t>qu’il</w:t>
      </w:r>
      <w:r w:rsidRPr="003E7B70" w:rsidR="00952D33">
        <w:t xml:space="preserve"> </w:t>
      </w:r>
      <w:r w:rsidR="00952D33">
        <w:t>l</w:t>
      </w:r>
      <w:r w:rsidRPr="003E7B70" w:rsidR="00952D33">
        <w:t>’exercera</w:t>
      </w:r>
      <w:r w:rsidR="00952D33">
        <w:t>it</w:t>
      </w:r>
      <w:r w:rsidRPr="003E7B70" w:rsidR="00952D33">
        <w:t xml:space="preserve"> </w:t>
      </w:r>
      <w:r w:rsidR="00952D33">
        <w:t xml:space="preserve">que </w:t>
      </w:r>
      <w:r w:rsidRPr="003E7B70" w:rsidR="00952D33">
        <w:t>principal</w:t>
      </w:r>
      <w:r w:rsidR="00952D33">
        <w:t>ement</w:t>
      </w:r>
      <w:r w:rsidRPr="003E7B70" w:rsidR="00952D33">
        <w:t xml:space="preserve"> </w:t>
      </w:r>
      <w:r w:rsidR="00952D33">
        <w:t>p</w:t>
      </w:r>
      <w:r w:rsidRPr="003E7B70" w:rsidR="00952D33">
        <w:t>ar l</w:t>
      </w:r>
      <w:r w:rsidR="00BD3C30">
        <w:t>’</w:t>
      </w:r>
      <w:r w:rsidRPr="003E7B70" w:rsidR="00952D33">
        <w:t xml:space="preserve">entremise de la </w:t>
      </w:r>
      <w:r w:rsidRPr="003E7B70" w:rsidR="00952D33">
        <w:rPr>
          <w:i/>
          <w:iCs/>
        </w:rPr>
        <w:t>Loi sur les mesures d’urgence</w:t>
      </w:r>
      <w:r w:rsidRPr="00A03288" w:rsidR="00952D33">
        <w:rPr>
          <w:rStyle w:val="FootnoteReference"/>
          <w:i/>
        </w:rPr>
        <w:footnoteReference w:id="4"/>
      </w:r>
      <w:r w:rsidRPr="003E7B70" w:rsidR="00952D33">
        <w:t>, l</w:t>
      </w:r>
      <w:r w:rsidR="001B3568">
        <w:t>e</w:t>
      </w:r>
      <w:r w:rsidRPr="003E7B70" w:rsidR="00952D33">
        <w:t xml:space="preserve">quel </w:t>
      </w:r>
      <w:r w:rsidR="00952D33">
        <w:t xml:space="preserve">accorde </w:t>
      </w:r>
      <w:r w:rsidR="00E16CC2">
        <w:t xml:space="preserve">à l’exécutif </w:t>
      </w:r>
      <w:r w:rsidR="00952D33">
        <w:t>le pouvoir de</w:t>
      </w:r>
      <w:r w:rsidRPr="003E7B70" w:rsidR="00952D33">
        <w:t xml:space="preserve"> déclarer l’état d’urgence en cas de crise nationale </w:t>
      </w:r>
      <w:r w:rsidR="00E16CC2">
        <w:t>menaçant</w:t>
      </w:r>
      <w:r w:rsidRPr="003E7B70" w:rsidR="00952D33">
        <w:t xml:space="preserve"> « la sécurité des individus […] [ou] la souveraineté, la sécurité et l’intégrité territoriale du pays »</w:t>
      </w:r>
      <w:r w:rsidRPr="003E7B70" w:rsidR="00952D33">
        <w:rPr>
          <w:rStyle w:val="FootnoteReference"/>
        </w:rPr>
        <w:footnoteReference w:id="5"/>
      </w:r>
      <w:r w:rsidRPr="003E7B70" w:rsidR="00952D33">
        <w:t>.</w:t>
      </w:r>
    </w:p>
    <w:p w:rsidRPr="003E7B70" w:rsidR="00952D33" w:rsidP="00D86216" w:rsidRDefault="00952D33" w14:paraId="2ABA740A" w14:textId="71253445">
      <w:pPr>
        <w:pStyle w:val="Paragraph"/>
        <w:spacing w:after="0" w:line="480" w:lineRule="auto"/>
        <w:jc w:val="left"/>
      </w:pPr>
      <w:r w:rsidRPr="003E7B70">
        <w:t xml:space="preserve">Il est </w:t>
      </w:r>
      <w:r w:rsidR="00E16CC2">
        <w:t xml:space="preserve">certes envisageable bien que peu probable </w:t>
      </w:r>
      <w:r w:rsidRPr="003E7B70">
        <w:t xml:space="preserve">que le gouvernement fédéral invoque </w:t>
      </w:r>
      <w:r w:rsidR="00E16CC2">
        <w:t>ce</w:t>
      </w:r>
      <w:r w:rsidRPr="003E7B70">
        <w:t xml:space="preserve"> pouvoir pour réglementer l’</w:t>
      </w:r>
      <w:r w:rsidR="00E16CC2">
        <w:t xml:space="preserve">intelligence artificielle </w:t>
      </w:r>
      <w:r w:rsidR="001B3568">
        <w:t>(</w:t>
      </w:r>
      <w:r w:rsidR="00E16CC2">
        <w:t>ci-après « IA »</w:t>
      </w:r>
      <w:r w:rsidR="001B3568">
        <w:t>)</w:t>
      </w:r>
      <w:r w:rsidRPr="003E7B70">
        <w:t xml:space="preserve">. À titre d’exemple, si le Canada subissait une cyberattaque majeure </w:t>
      </w:r>
      <w:r w:rsidR="00E16CC2">
        <w:t>paralysant</w:t>
      </w:r>
      <w:r w:rsidRPr="003E7B70">
        <w:t xml:space="preserve"> ses infrastructures critiques</w:t>
      </w:r>
      <w:r w:rsidRPr="003E7B70" w:rsidR="00036AFA">
        <w:t>—</w:t>
      </w:r>
      <w:r w:rsidR="00036AFA">
        <w:t xml:space="preserve">comme les </w:t>
      </w:r>
      <w:r w:rsidRPr="003E7B70">
        <w:t>réseaux électriques,</w:t>
      </w:r>
      <w:r w:rsidR="00036AFA">
        <w:t xml:space="preserve"> les</w:t>
      </w:r>
      <w:r w:rsidRPr="003E7B70">
        <w:t xml:space="preserve"> systèmes de santé </w:t>
      </w:r>
      <w:r w:rsidR="00036AFA">
        <w:t xml:space="preserve">ou les plateformes </w:t>
      </w:r>
      <w:r w:rsidRPr="003E7B70">
        <w:t>de communication</w:t>
      </w:r>
      <w:r w:rsidRPr="003E7B70" w:rsidR="00036AFA">
        <w:t>—</w:t>
      </w:r>
      <w:r w:rsidR="00036AFA">
        <w:t>,</w:t>
      </w:r>
      <w:r w:rsidRPr="003E7B70">
        <w:t xml:space="preserve"> une telle invocation serait vraisemblablement justifiée. Le gouvernement fédéral pourrait alors déclarer l’état d’urgence et prendre des mesures temporaires exceptionnels pour assurer la sécurité nationale et protéger la population de menaces</w:t>
      </w:r>
      <w:r>
        <w:t xml:space="preserve"> </w:t>
      </w:r>
      <w:r w:rsidR="00021FFF">
        <w:t>réelles</w:t>
      </w:r>
      <w:r>
        <w:t xml:space="preserve"> ou perçus</w:t>
      </w:r>
      <w:r w:rsidR="00E16CC2">
        <w:t xml:space="preserve">, </w:t>
      </w:r>
      <w:r w:rsidR="001B3568">
        <w:t>lui permettant de</w:t>
      </w:r>
      <w:r w:rsidRPr="003E7B70">
        <w:t xml:space="preserve"> limiter certaines garanties constitutionnelles, saisir des biens stratégiques</w:t>
      </w:r>
      <w:r w:rsidR="001B3568">
        <w:t>,</w:t>
      </w:r>
      <w:r w:rsidRPr="003E7B70">
        <w:t xml:space="preserve"> ou imposer des exigences strictes ou des interdictions au secteur </w:t>
      </w:r>
      <w:r w:rsidR="00E16CC2">
        <w:t>informatique</w:t>
      </w:r>
      <w:r w:rsidRPr="003E7B70">
        <w:t xml:space="preserve">. </w:t>
      </w:r>
      <w:r w:rsidR="00E16CC2">
        <w:t>Toutefois</w:t>
      </w:r>
      <w:r w:rsidRPr="003E7B70">
        <w:t xml:space="preserve"> en l’absence d’une crise nationale </w:t>
      </w:r>
      <w:r w:rsidR="00021FFF">
        <w:t xml:space="preserve">réelle ou </w:t>
      </w:r>
      <w:r w:rsidRPr="003E7B70">
        <w:t>anticipé</w:t>
      </w:r>
      <w:r w:rsidR="00021FFF">
        <w:t>, une telle invocation demeure hautement improbable</w:t>
      </w:r>
      <w:r w:rsidR="00626A36">
        <w:t>.</w:t>
      </w:r>
    </w:p>
    <w:p w:rsidR="00A741C8" w:rsidP="00D86216" w:rsidRDefault="00A741C8" w14:paraId="7A3ED5EB" w14:textId="402F21E0">
      <w:pPr>
        <w:pStyle w:val="Paragraph"/>
        <w:spacing w:after="0" w:line="480" w:lineRule="auto"/>
        <w:jc w:val="left"/>
      </w:pPr>
      <w:r w:rsidRPr="00A741C8">
        <w:t xml:space="preserve">Le pouvoir résiduaire d’intérêt national en revanche, repose sur une analyse plus </w:t>
      </w:r>
      <w:r w:rsidR="00021FFF">
        <w:t>comple</w:t>
      </w:r>
      <w:r w:rsidR="00626A36">
        <w:t>x</w:t>
      </w:r>
      <w:r w:rsidR="00021FFF">
        <w:t xml:space="preserve">e et </w:t>
      </w:r>
      <w:r w:rsidRPr="00A741C8">
        <w:t>nuancée</w:t>
      </w:r>
      <w:r w:rsidR="00021FFF">
        <w:t xml:space="preserve">. Ce pouvoir </w:t>
      </w:r>
      <w:r w:rsidRPr="003E7B70" w:rsidR="00952D33">
        <w:t xml:space="preserve">permet au </w:t>
      </w:r>
      <w:r w:rsidR="00D8540C">
        <w:t>p</w:t>
      </w:r>
      <w:r w:rsidRPr="003E7B70" w:rsidR="00952D33">
        <w:t>arlement du Canada de légiférer sur une matière d’</w:t>
      </w:r>
      <w:r>
        <w:t>« </w:t>
      </w:r>
      <w:r w:rsidRPr="003E7B70" w:rsidR="00952D33">
        <w:t>intérêt national</w:t>
      </w:r>
      <w:r>
        <w:t> »</w:t>
      </w:r>
      <w:r w:rsidRPr="003E7B70" w:rsidR="00952D33">
        <w:t xml:space="preserve"> non expressément assign</w:t>
      </w:r>
      <w:r w:rsidR="00481F2F">
        <w:t>e</w:t>
      </w:r>
      <w:r w:rsidR="00F13271">
        <w:t>r</w:t>
      </w:r>
      <w:r w:rsidRPr="003E7B70" w:rsidR="00952D33">
        <w:t xml:space="preserve"> par la </w:t>
      </w:r>
      <w:r w:rsidR="00D8540C">
        <w:t>c</w:t>
      </w:r>
      <w:r w:rsidRPr="003E7B70" w:rsidR="00952D33">
        <w:t xml:space="preserve">onstitution, sous réserve </w:t>
      </w:r>
      <w:r w:rsidR="00021FFF">
        <w:t xml:space="preserve">(1) </w:t>
      </w:r>
      <w:r w:rsidRPr="003E7B70" w:rsidR="00952D33">
        <w:t>qu’elle présente « une unicité, une particularité et une indivisibilité qui la distingue</w:t>
      </w:r>
      <w:r w:rsidR="00FD4181">
        <w:t>nt [</w:t>
      </w:r>
      <w:r w:rsidRPr="00FD4181" w:rsidR="00FD4181">
        <w:t>sic</w:t>
      </w:r>
      <w:r w:rsidR="00FD4181">
        <w:t>]</w:t>
      </w:r>
      <w:r w:rsidRPr="003E7B70" w:rsidR="00952D33">
        <w:t xml:space="preserve"> clairement des matières d’intérêt provincial »</w:t>
      </w:r>
      <w:bookmarkStart w:name="_Ref188788725" w:id="8"/>
      <w:r w:rsidR="00870155">
        <w:t xml:space="preserve"> </w:t>
      </w:r>
      <w:r w:rsidRPr="003E7B70" w:rsidR="00952D33">
        <w:rPr>
          <w:rStyle w:val="FootnoteReference"/>
        </w:rPr>
        <w:footnoteReference w:id="6"/>
      </w:r>
      <w:bookmarkEnd w:id="8"/>
      <w:r w:rsidRPr="003E7B70" w:rsidR="00952D33">
        <w:t xml:space="preserve"> et </w:t>
      </w:r>
      <w:r w:rsidR="00021FFF">
        <w:t xml:space="preserve">(2) </w:t>
      </w:r>
      <w:r w:rsidRPr="003E7B70" w:rsidR="00952D33">
        <w:t xml:space="preserve">qu’elle a « un effet sur la compétence provinciale qui [est] </w:t>
      </w:r>
      <w:r w:rsidRPr="003E7B70" w:rsidR="00952D33">
        <w:t>compatible avec le partage fondamental des pouvoirs législatifs effectué par la Constitution</w:t>
      </w:r>
      <w:r w:rsidR="00F13271">
        <w:t xml:space="preserve"> </w:t>
      </w:r>
      <w:r w:rsidRPr="003E7B70" w:rsidR="00952D33">
        <w:t>»</w:t>
      </w:r>
      <w:r w:rsidR="00B9656B">
        <w:t>.</w:t>
      </w:r>
      <w:r w:rsidRPr="003E7B70" w:rsidR="00952D33">
        <w:rPr>
          <w:rStyle w:val="FootnoteReference"/>
        </w:rPr>
        <w:footnoteReference w:id="7"/>
      </w:r>
      <w:r w:rsidRPr="003E7B70" w:rsidR="00952D33">
        <w:t xml:space="preserve"> </w:t>
      </w:r>
      <w:r>
        <w:t xml:space="preserve">Entre autres </w:t>
      </w:r>
      <w:r w:rsidRPr="003E7B70">
        <w:t>l’aéronautique</w:t>
      </w:r>
      <w:r w:rsidRPr="003E7B70">
        <w:rPr>
          <w:rStyle w:val="FootnoteReference"/>
        </w:rPr>
        <w:footnoteReference w:id="8"/>
      </w:r>
      <w:r w:rsidRPr="003E7B70">
        <w:t>, l’aménagement de la capitale nationale</w:t>
      </w:r>
      <w:r w:rsidRPr="003E7B70">
        <w:rPr>
          <w:rStyle w:val="FootnoteReference"/>
        </w:rPr>
        <w:footnoteReference w:id="9"/>
      </w:r>
      <w:r w:rsidRPr="003E7B70">
        <w:t xml:space="preserve">, </w:t>
      </w:r>
      <w:r>
        <w:t>le</w:t>
      </w:r>
      <w:r w:rsidRPr="003E7B70">
        <w:t xml:space="preserve"> contrôle de l’énergie atomique</w:t>
      </w:r>
      <w:r w:rsidRPr="003E7B70">
        <w:rPr>
          <w:rStyle w:val="FootnoteReference"/>
        </w:rPr>
        <w:footnoteReference w:id="10"/>
      </w:r>
      <w:r w:rsidRPr="003E7B70">
        <w:t xml:space="preserve">, </w:t>
      </w:r>
      <w:r>
        <w:t>les</w:t>
      </w:r>
      <w:r w:rsidRPr="003E7B70">
        <w:t xml:space="preserve"> langues officielles fédérales</w:t>
      </w:r>
      <w:r w:rsidRPr="003E7B70">
        <w:rPr>
          <w:rStyle w:val="FootnoteReference"/>
        </w:rPr>
        <w:footnoteReference w:id="11"/>
      </w:r>
      <w:r w:rsidRPr="003E7B70">
        <w:t>, certain</w:t>
      </w:r>
      <w:r>
        <w:t>es questions environnementales</w:t>
      </w:r>
      <w:bookmarkStart w:name="_Ref182151684" w:id="9"/>
      <w:r w:rsidRPr="003E7B70">
        <w:rPr>
          <w:rStyle w:val="FootnoteReference"/>
        </w:rPr>
        <w:footnoteReference w:id="12"/>
      </w:r>
      <w:bookmarkEnd w:id="9"/>
      <w:r>
        <w:t xml:space="preserve"> et </w:t>
      </w:r>
      <w:r w:rsidRPr="003E7B70">
        <w:t xml:space="preserve">la succession à la </w:t>
      </w:r>
      <w:r w:rsidR="001B3568">
        <w:t>c</w:t>
      </w:r>
      <w:r w:rsidRPr="003E7B70">
        <w:t>ouronne du Canada</w:t>
      </w:r>
      <w:r w:rsidRPr="003E7B70">
        <w:rPr>
          <w:rStyle w:val="FootnoteReference"/>
        </w:rPr>
        <w:footnoteReference w:id="13"/>
      </w:r>
      <w:r>
        <w:t xml:space="preserve"> </w:t>
      </w:r>
      <w:r w:rsidR="00021FFF">
        <w:t xml:space="preserve">constitue </w:t>
      </w:r>
      <w:r>
        <w:t xml:space="preserve">des exemples </w:t>
      </w:r>
      <w:r w:rsidR="00021FFF">
        <w:t xml:space="preserve">notables </w:t>
      </w:r>
      <w:r>
        <w:t>de domaines régi</w:t>
      </w:r>
      <w:r w:rsidR="00F13271">
        <w:t>e</w:t>
      </w:r>
      <w:r>
        <w:t>s par l’application de ce pouvoir</w:t>
      </w:r>
      <w:r w:rsidRPr="003E7B70">
        <w:t>.</w:t>
      </w:r>
    </w:p>
    <w:p w:rsidRPr="003E7B70" w:rsidR="00952D33" w:rsidP="00D86216" w:rsidRDefault="00036AFA" w14:paraId="4E027F92" w14:textId="389D9E86">
      <w:pPr>
        <w:pStyle w:val="Paragraph"/>
        <w:spacing w:after="0" w:line="480" w:lineRule="auto"/>
        <w:jc w:val="left"/>
      </w:pPr>
      <w:r>
        <w:t>En outre</w:t>
      </w:r>
      <w:r w:rsidRPr="003E7B70" w:rsidR="00952D33">
        <w:t>, une matière d’intérêt national</w:t>
      </w:r>
      <w:r w:rsidR="00B9656B">
        <w:t>e</w:t>
      </w:r>
      <w:r w:rsidRPr="003E7B70" w:rsidR="00952D33">
        <w:t xml:space="preserve"> nouvellement identifiée ne relèverait probablement pas d’un seul ordre de gouvernement</w:t>
      </w:r>
      <w:r w:rsidRPr="003E7B70" w:rsidR="00952D33">
        <w:rPr>
          <w:rStyle w:val="FootnoteReference"/>
        </w:rPr>
        <w:footnoteReference w:id="14"/>
      </w:r>
      <w:r w:rsidR="00A81C94">
        <w:t xml:space="preserve">: </w:t>
      </w:r>
      <w:r w:rsidRPr="003E7B70" w:rsidR="00952D33">
        <w:t xml:space="preserve">assurer la compatibilité </w:t>
      </w:r>
      <w:r w:rsidR="0009078D">
        <w:t>du</w:t>
      </w:r>
      <w:r w:rsidRPr="003E7B70" w:rsidR="00952D33">
        <w:t xml:space="preserve"> matière « </w:t>
      </w:r>
      <w:r w:rsidRPr="003E7B70" w:rsidR="006948DE">
        <w:t xml:space="preserve">avec </w:t>
      </w:r>
      <w:r w:rsidRPr="003E7B70" w:rsidR="00952D33">
        <w:t>le partage fondamental des pouvoirs législatifs »</w:t>
      </w:r>
      <w:r w:rsidR="00B9656B">
        <w:t>,</w:t>
      </w:r>
      <w:r w:rsidRPr="003E7B70" w:rsidR="00952D33">
        <w:t xml:space="preserve"> préserve forcément sa compatibilité avec le principe moderne du fédéralisme coopératif, principe « qui favorise la souplesse et un certain </w:t>
      </w:r>
      <w:r w:rsidRPr="003E7B70" w:rsidR="00952D33">
        <w:t>degré de chevauchement des compétences »</w:t>
      </w:r>
      <w:r w:rsidR="00F13271">
        <w:t>,</w:t>
      </w:r>
      <w:bookmarkStart w:name="_Ref182316135" w:id="10"/>
      <w:r w:rsidRPr="003E7B70" w:rsidR="00952D33">
        <w:rPr>
          <w:rStyle w:val="FootnoteReference"/>
        </w:rPr>
        <w:footnoteReference w:id="15"/>
      </w:r>
      <w:bookmarkEnd w:id="10"/>
      <w:r w:rsidRPr="003E7B70" w:rsidR="00952D33">
        <w:t xml:space="preserve"> plutôt que de les diviser</w:t>
      </w:r>
      <w:r w:rsidR="009976C3">
        <w:t xml:space="preserve"> </w:t>
      </w:r>
      <w:r w:rsidRPr="003E7B70" w:rsidR="00952D33">
        <w:t>en « compartiments étanches » [traduction]</w:t>
      </w:r>
      <w:bookmarkStart w:name="_Ref183857363" w:id="11"/>
      <w:r w:rsidRPr="003E7B70" w:rsidR="00952D33">
        <w:rPr>
          <w:rStyle w:val="FootnoteReference"/>
        </w:rPr>
        <w:footnoteReference w:id="16"/>
      </w:r>
      <w:bookmarkEnd w:id="11"/>
      <w:r w:rsidRPr="003E7B70" w:rsidR="00952D33">
        <w:t xml:space="preserve"> de façon rigide et exclusive</w:t>
      </w:r>
      <w:bookmarkStart w:name="_Ref182310532" w:id="12"/>
      <w:r w:rsidRPr="003E7B70" w:rsidR="00952D33">
        <w:rPr>
          <w:rStyle w:val="FootnoteReference"/>
        </w:rPr>
        <w:footnoteReference w:id="17"/>
      </w:r>
      <w:bookmarkEnd w:id="12"/>
      <w:r w:rsidRPr="003E7B70" w:rsidR="00952D33">
        <w:t>.</w:t>
      </w:r>
    </w:p>
    <w:p w:rsidR="00021FFF" w:rsidP="00D86216" w:rsidRDefault="00952D33" w14:paraId="2514624D" w14:textId="5DF92B99">
      <w:pPr>
        <w:pStyle w:val="Paragraph"/>
        <w:spacing w:after="0" w:line="480" w:lineRule="auto"/>
        <w:jc w:val="left"/>
      </w:pPr>
      <w:r w:rsidRPr="003E7B70">
        <w:t xml:space="preserve">Au bout du compte, une mesure législative fédérale </w:t>
      </w:r>
      <w:r w:rsidR="00A81C94">
        <w:t xml:space="preserve">ne </w:t>
      </w:r>
      <w:r w:rsidRPr="003E7B70">
        <w:t xml:space="preserve">sera qualifiée d’intérêt national </w:t>
      </w:r>
      <w:r w:rsidR="00A81C94">
        <w:t>que</w:t>
      </w:r>
      <w:r w:rsidRPr="003E7B70">
        <w:t xml:space="preserve"> si son caractère véritable — </w:t>
      </w:r>
      <w:r w:rsidR="00B9656B">
        <w:t>c’est à dire</w:t>
      </w:r>
      <w:r w:rsidRPr="003E7B70">
        <w:t xml:space="preserve"> sa caractéristique dominante, son trait essentiel</w:t>
      </w:r>
      <w:r w:rsidR="00B9656B">
        <w:t>, ou</w:t>
      </w:r>
      <w:r w:rsidRPr="003E7B70">
        <w:t xml:space="preserve"> son idée maîtresse</w:t>
      </w:r>
      <w:bookmarkStart w:name="_Ref182902380" w:id="13"/>
      <w:r w:rsidRPr="003E7B70">
        <w:rPr>
          <w:rStyle w:val="FootnoteReference"/>
        </w:rPr>
        <w:footnoteReference w:id="18"/>
      </w:r>
      <w:bookmarkEnd w:id="13"/>
      <w:r w:rsidRPr="003E7B70">
        <w:t xml:space="preserve"> — transcende l’intérêt provincial et concerne plutôt l’ensemble du pays</w:t>
      </w:r>
      <w:r w:rsidRPr="003E7B70">
        <w:rPr>
          <w:rStyle w:val="FootnoteReference"/>
        </w:rPr>
        <w:footnoteReference w:id="19"/>
      </w:r>
      <w:r w:rsidRPr="003E7B70">
        <w:t xml:space="preserve">. Ainsi, afin que le gouvernement fédéral puisse invoquer ce pouvoir pour encadrer l’IA il devra démontrer que le caractère véritable des mesures qu’il </w:t>
      </w:r>
      <w:r w:rsidR="00A81C94">
        <w:t>entre</w:t>
      </w:r>
      <w:r w:rsidRPr="003E7B70">
        <w:t xml:space="preserve">prend </w:t>
      </w:r>
      <w:r w:rsidR="00626A36">
        <w:t>satisf</w:t>
      </w:r>
      <w:r w:rsidR="0009078D">
        <w:t>on</w:t>
      </w:r>
      <w:r w:rsidR="00626A36">
        <w:t>t</w:t>
      </w:r>
      <w:r w:rsidRPr="003E7B70">
        <w:t xml:space="preserve"> </w:t>
      </w:r>
      <w:r w:rsidR="00036AFA">
        <w:t>aux</w:t>
      </w:r>
      <w:r w:rsidRPr="003E7B70">
        <w:t xml:space="preserve"> critères</w:t>
      </w:r>
      <w:r w:rsidR="00036AFA">
        <w:t xml:space="preserve"> énumérés par la jurisprudence pour son utilisation</w:t>
      </w:r>
      <w:r w:rsidRPr="003E7B70">
        <w:t xml:space="preserve">. Or, étant donné que les systèmes d’IA peuvent servir des applications très variées au niveau local — qui relève plutôt des compétences provinciales en matière de propriété et de droits civil, d’administration de la justice, d’éducation ou de </w:t>
      </w:r>
      <w:r w:rsidR="00B9656B">
        <w:t xml:space="preserve">la </w:t>
      </w:r>
      <w:r w:rsidRPr="003E7B70">
        <w:t>santé</w:t>
      </w:r>
      <w:r w:rsidRPr="003E7B70">
        <w:rPr>
          <w:rStyle w:val="FootnoteReference"/>
        </w:rPr>
        <w:footnoteReference w:id="20"/>
      </w:r>
      <w:r w:rsidRPr="003E7B70">
        <w:t xml:space="preserve"> —, considérer l’IA dans son ensemble comme possédant une « indivisibilité » qui la distingue « clairement » des matières d’intérêt provincial s’avère difficile voire impossible</w:t>
      </w:r>
      <w:r w:rsidR="00F13271">
        <w:t>.</w:t>
      </w:r>
      <w:r w:rsidRPr="003E7B70">
        <w:rPr>
          <w:rStyle w:val="FootnoteReference"/>
        </w:rPr>
        <w:footnoteReference w:id="21"/>
      </w:r>
      <w:r w:rsidRPr="003E7B70">
        <w:t xml:space="preserve"> Cela ne signifie toutefois pour autant qu’un sujet connexe</w:t>
      </w:r>
      <w:r w:rsidR="00021FFF">
        <w:t xml:space="preserve">, </w:t>
      </w:r>
      <w:r w:rsidRPr="003E7B70">
        <w:t xml:space="preserve">un peu plus précis dans le domaine vaste de </w:t>
      </w:r>
      <w:r w:rsidRPr="003E7B70">
        <w:t>l’IA</w:t>
      </w:r>
      <w:r w:rsidR="00021FFF">
        <w:t>,</w:t>
      </w:r>
      <w:r w:rsidRPr="003E7B70">
        <w:t xml:space="preserve"> pourrait éventuellement répondre aux exigences du pouvoir résiduaire d’intérêt national.</w:t>
      </w:r>
      <w:r w:rsidR="00021FFF">
        <w:t xml:space="preserve"> </w:t>
      </w:r>
      <w:r w:rsidRPr="00021FFF" w:rsidR="00021FFF">
        <w:t>Une analyse approfondie de</w:t>
      </w:r>
      <w:r w:rsidR="00626A36">
        <w:t xml:space="preserve"> secteur</w:t>
      </w:r>
      <w:r w:rsidRPr="00021FFF" w:rsidR="00021FFF">
        <w:t xml:space="preserve"> </w:t>
      </w:r>
      <w:r w:rsidR="00626A36">
        <w:t>précis</w:t>
      </w:r>
      <w:r w:rsidRPr="00021FFF" w:rsidR="00021FFF">
        <w:t xml:space="preserve"> </w:t>
      </w:r>
      <w:r w:rsidR="00FD4E20">
        <w:t>dans le cadre de</w:t>
      </w:r>
      <w:r w:rsidRPr="00021FFF" w:rsidR="00021FFF">
        <w:t xml:space="preserve"> l’IA pourrait révéler d</w:t>
      </w:r>
      <w:r w:rsidR="00626A36">
        <w:t>e nouveaux éléments qui</w:t>
      </w:r>
      <w:r w:rsidRPr="00021FFF" w:rsidR="00021FFF">
        <w:t xml:space="preserve"> répond</w:t>
      </w:r>
      <w:r w:rsidR="00626A36">
        <w:t>e</w:t>
      </w:r>
      <w:r w:rsidRPr="00021FFF" w:rsidR="00021FFF">
        <w:t>nt aux critères du pouvoir résiduaire d’intérêt national</w:t>
      </w:r>
      <w:r w:rsidR="00021FFF">
        <w:t xml:space="preserve">, </w:t>
      </w:r>
      <w:r w:rsidR="00CE585D">
        <w:t>menant</w:t>
      </w:r>
      <w:r w:rsidR="00021FFF">
        <w:t xml:space="preserve"> possiblement</w:t>
      </w:r>
      <w:r w:rsidR="00626A36">
        <w:t xml:space="preserve"> à</w:t>
      </w:r>
      <w:r w:rsidR="00021FFF">
        <w:t xml:space="preserve"> son invocation et</w:t>
      </w:r>
      <w:r w:rsidR="00626A36">
        <w:t xml:space="preserve"> </w:t>
      </w:r>
      <w:r w:rsidR="00021FFF">
        <w:t>la prise subséquente du Parlement fédéral d’un nouve</w:t>
      </w:r>
      <w:r w:rsidR="00B9656B">
        <w:t>l</w:t>
      </w:r>
      <w:r w:rsidR="00021FFF">
        <w:t xml:space="preserve"> pouvoir</w:t>
      </w:r>
      <w:r w:rsidR="00B9656B">
        <w:t xml:space="preserve"> législatif</w:t>
      </w:r>
      <w:r w:rsidR="00FD4E20">
        <w:t xml:space="preserve">, d’un </w:t>
      </w:r>
      <w:r w:rsidR="00B9656B">
        <w:t>nouvel</w:t>
      </w:r>
      <w:r w:rsidR="00FD4E20">
        <w:t xml:space="preserve"> outil réglementaire</w:t>
      </w:r>
      <w:r w:rsidR="00021FFF">
        <w:t>.</w:t>
      </w:r>
    </w:p>
    <w:p w:rsidR="00A03288" w:rsidP="00021FFF" w:rsidRDefault="00A03288" w14:paraId="2FD64B29" w14:textId="77777777">
      <w:pPr>
        <w:pStyle w:val="Paragraph"/>
        <w:spacing w:after="0" w:line="480" w:lineRule="auto"/>
      </w:pPr>
    </w:p>
    <w:p w:rsidR="00A03288" w:rsidP="00021FFF" w:rsidRDefault="00A03288" w14:paraId="78BFD0DE" w14:textId="77777777">
      <w:pPr>
        <w:pStyle w:val="Paragraph"/>
        <w:spacing w:after="0" w:line="480" w:lineRule="auto"/>
      </w:pPr>
    </w:p>
    <w:p w:rsidR="00A03288" w:rsidP="00021FFF" w:rsidRDefault="00A03288" w14:paraId="730DCEA6" w14:textId="77777777">
      <w:pPr>
        <w:pStyle w:val="Paragraph"/>
        <w:spacing w:after="0" w:line="480" w:lineRule="auto"/>
      </w:pPr>
    </w:p>
    <w:p w:rsidR="00A03288" w:rsidP="00021FFF" w:rsidRDefault="00A03288" w14:paraId="4D85C833" w14:textId="77777777">
      <w:pPr>
        <w:pStyle w:val="Paragraph"/>
        <w:spacing w:after="0" w:line="480" w:lineRule="auto"/>
      </w:pPr>
    </w:p>
    <w:p w:rsidR="00A03288" w:rsidP="00565D48" w:rsidRDefault="00A03288" w14:paraId="7750B8A6" w14:textId="77777777">
      <w:pPr>
        <w:pStyle w:val="Paragraph"/>
        <w:spacing w:after="0" w:line="480" w:lineRule="auto"/>
        <w:ind w:firstLine="0"/>
      </w:pPr>
    </w:p>
    <w:p w:rsidR="00313F42" w:rsidP="00565D48" w:rsidRDefault="00313F42" w14:paraId="017717C4" w14:textId="77777777">
      <w:pPr>
        <w:pStyle w:val="Paragraph"/>
        <w:spacing w:after="0" w:line="480" w:lineRule="auto"/>
        <w:ind w:firstLine="0"/>
        <w:sectPr w:rsidR="00313F42">
          <w:footerReference w:type="even" r:id="rId11"/>
          <w:footerReference w:type="default" r:id="rId12"/>
          <w:pgSz w:w="12240" w:h="15840" w:orient="portrait"/>
          <w:pgMar w:top="1440" w:right="1440" w:bottom="1440" w:left="1440" w:header="708" w:footer="708" w:gutter="0"/>
          <w:cols w:space="708"/>
          <w:docGrid w:linePitch="360"/>
        </w:sectPr>
      </w:pPr>
    </w:p>
    <w:p w:rsidRPr="008531BF" w:rsidR="00313F42" w:rsidP="00313F42" w:rsidRDefault="00313F42" w14:paraId="725BDEDE" w14:textId="58352B0D">
      <w:pPr>
        <w:jc w:val="center"/>
        <w:rPr>
          <w:rFonts w:ascii="Times New Roman" w:hAnsi="Times New Roman" w:cs="Times New Roman"/>
          <w:b/>
        </w:rPr>
      </w:pPr>
      <w:r w:rsidRPr="00C50C31">
        <w:rPr>
          <w:rFonts w:cs="Times New Roman"/>
          <w:i/>
          <w:iCs/>
          <w:noProof/>
          <w:color w:val="000000"/>
          <w:sz w:val="20"/>
          <w:szCs w:val="20"/>
          <w:shd w:val="clear" w:color="auto" w:fill="FFFF00"/>
        </w:rPr>
        <mc:AlternateContent>
          <mc:Choice Requires="wps">
            <w:drawing>
              <wp:anchor distT="45720" distB="45720" distL="114300" distR="114300" simplePos="0" relativeHeight="251659264" behindDoc="1" locked="0" layoutInCell="1" allowOverlap="1" wp14:anchorId="322F8765" wp14:editId="670E4AD7">
                <wp:simplePos x="0" y="0"/>
                <wp:positionH relativeFrom="margin">
                  <wp:posOffset>-1160779</wp:posOffset>
                </wp:positionH>
                <wp:positionV relativeFrom="margin">
                  <wp:posOffset>3930419</wp:posOffset>
                </wp:positionV>
                <wp:extent cx="1988820" cy="3263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88820" cy="326390"/>
                        </a:xfrm>
                        <a:prstGeom prst="rect">
                          <a:avLst/>
                        </a:prstGeom>
                        <a:noFill/>
                        <a:ln w="9525">
                          <a:noFill/>
                          <a:miter lim="800000"/>
                          <a:headEnd/>
                          <a:tailEnd/>
                        </a:ln>
                      </wps:spPr>
                      <wps:txbx>
                        <w:txbxContent>
                          <w:p w:rsidRPr="00D268F1" w:rsidR="00313F42" w:rsidP="00313F42" w:rsidRDefault="00313F42" w14:paraId="6FF2FD45" w14:textId="77777777">
                            <w:pPr>
                              <w:rPr>
                                <w:rFonts w:ascii="Arial Black" w:hAnsi="Arial Black"/>
                                <w:color w:val="808080" w:themeColor="background1" w:themeShade="80"/>
                              </w:rPr>
                            </w:pPr>
                            <w:r>
                              <w:rPr>
                                <w:rFonts w:ascii="Arial Black" w:hAnsi="Arial Black"/>
                                <w:color w:val="808080" w:themeColor="background1" w:themeShade="80"/>
                              </w:rPr>
                              <w:t>EXEMPLE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3237A81">
              <v:shapetype id="_x0000_t202" coordsize="21600,21600" o:spt="202" path="m,l,21600r21600,l21600,xe" w14:anchorId="322F8765">
                <v:stroke joinstyle="miter"/>
                <v:path gradientshapeok="t" o:connecttype="rect"/>
              </v:shapetype>
              <v:shape id="Text Box 2" style="position:absolute;left:0;text-align:left;margin-left:-91.4pt;margin-top:309.5pt;width:156.6pt;height:25.7pt;rotation:-90;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">
                <v:textbox>
                  <w:txbxContent>
                    <w:p w:rsidRPr="00D268F1" w:rsidR="00313F42" w:rsidP="00313F42" w:rsidRDefault="00313F42" w14:paraId="61983A6A" w14:textId="77777777">
                      <w:pPr>
                        <w:rPr>
                          <w:rFonts w:ascii="Arial Black" w:hAnsi="Arial Black"/>
                          <w:color w:val="808080" w:themeColor="background1" w:themeShade="80"/>
                        </w:rPr>
                      </w:pPr>
                      <w:r>
                        <w:rPr>
                          <w:rFonts w:ascii="Arial Black" w:hAnsi="Arial Black"/>
                          <w:color w:val="808080" w:themeColor="background1" w:themeShade="80"/>
                        </w:rPr>
                        <w:t>EXEMPLE</w:t>
                      </w:r>
                    </w:p>
                  </w:txbxContent>
                </v:textbox>
                <w10:wrap anchorx="margin" anchory="margin"/>
              </v:shape>
            </w:pict>
          </mc:Fallback>
        </mc:AlternateContent>
      </w:r>
      <w:r w:rsidRPr="008531BF">
        <w:rPr>
          <w:rFonts w:ascii="Times New Roman" w:hAnsi="Times New Roman" w:cs="Times New Roman"/>
          <w:b/>
        </w:rPr>
        <w:t>PARTIE II : CORRECTION DES NOTES DE BAS DE PAGE</w:t>
      </w:r>
    </w:p>
    <w:tbl>
      <w:tblPr>
        <w:tblpPr w:leftFromText="180" w:rightFromText="180" w:vertAnchor="page" w:horzAnchor="margin" w:tblpY="1267"/>
        <w:tblW w:w="14575" w:type="dxa"/>
        <w:tblLook w:val="04A0" w:firstRow="1" w:lastRow="0" w:firstColumn="1" w:lastColumn="0" w:noHBand="0" w:noVBand="1"/>
      </w:tblPr>
      <w:tblGrid>
        <w:gridCol w:w="701"/>
        <w:gridCol w:w="3819"/>
        <w:gridCol w:w="3595"/>
        <w:gridCol w:w="3938"/>
        <w:gridCol w:w="2522"/>
      </w:tblGrid>
      <w:tr w:rsidRPr="00AC0492" w:rsidR="00AC0492" w:rsidTr="276AEDD1" w14:paraId="5A93F0FF" w14:textId="77777777">
        <w:trPr>
          <w:trHeight w:val="381"/>
        </w:trPr>
        <w:tc>
          <w:tcPr>
            <w:tcW w:w="14575" w:type="dxa"/>
            <w:gridSpan w:val="5"/>
            <w:tcBorders>
              <w:top w:val="single" w:color="auto" w:sz="8" w:space="0"/>
              <w:left w:val="single" w:color="auto" w:sz="8" w:space="0"/>
              <w:bottom w:val="single" w:color="auto" w:sz="8" w:space="0"/>
              <w:right w:val="single" w:color="000000" w:themeColor="text1" w:sz="8" w:space="0"/>
            </w:tcBorders>
            <w:shd w:val="clear" w:color="auto" w:fill="000000" w:themeFill="text1"/>
            <w:noWrap/>
            <w:tcMar/>
            <w:vAlign w:val="center"/>
            <w:hideMark/>
          </w:tcPr>
          <w:p w:rsidRPr="009A50C0" w:rsidR="00AC0492" w:rsidP="00AC0492" w:rsidRDefault="00AC0492" w14:paraId="21231972" w14:textId="26398B9E">
            <w:pPr>
              <w:jc w:val="center"/>
              <w:rPr>
                <w:rFonts w:ascii="Times New Roman" w:hAnsi="Times New Roman" w:eastAsia="Times New Roman" w:cs="Times New Roman"/>
                <w:b/>
                <w:bCs/>
                <w:color w:val="FFFFFF"/>
                <w:kern w:val="0"/>
                <w:sz w:val="28"/>
                <w:szCs w:val="28"/>
                <w14:ligatures w14:val="none"/>
              </w:rPr>
            </w:pPr>
          </w:p>
        </w:tc>
      </w:tr>
      <w:tr w:rsidRPr="00AC0492" w:rsidR="00AC0492" w:rsidTr="276AEDD1" w14:paraId="27F5A4A9" w14:textId="77777777">
        <w:trPr>
          <w:trHeight w:val="667"/>
        </w:trPr>
        <w:tc>
          <w:tcPr>
            <w:tcW w:w="701" w:type="dxa"/>
            <w:tcBorders>
              <w:top w:val="single" w:color="auto" w:sz="8" w:space="0"/>
              <w:left w:val="single" w:color="auto" w:sz="8" w:space="0"/>
              <w:bottom w:val="nil"/>
              <w:right w:val="single" w:color="auto" w:sz="8" w:space="0"/>
            </w:tcBorders>
            <w:shd w:val="clear" w:color="auto" w:fill="8F001A"/>
            <w:tcMar/>
            <w:vAlign w:val="center"/>
            <w:hideMark/>
          </w:tcPr>
          <w:p w:rsidRPr="00AC0492" w:rsidR="00AC0492" w:rsidP="00AC0492" w:rsidRDefault="00AC0492" w14:paraId="78914485" w14:textId="77777777">
            <w:pPr>
              <w:jc w:val="center"/>
              <w:rPr>
                <w:rFonts w:ascii="Times New Roman" w:hAnsi="Times New Roman" w:eastAsia="Times New Roman" w:cs="Times New Roman"/>
                <w:b/>
                <w:bCs/>
                <w:color w:val="FFFFFF"/>
                <w:kern w:val="0"/>
                <w:lang w:val="en-CA"/>
                <w14:ligatures w14:val="none"/>
              </w:rPr>
            </w:pPr>
            <w:r w:rsidRPr="00AC0492">
              <w:rPr>
                <w:rFonts w:ascii="Times New Roman" w:hAnsi="Times New Roman" w:eastAsia="Times New Roman" w:cs="Times New Roman"/>
                <w:b/>
                <w:bCs/>
                <w:color w:val="FFFFFF"/>
                <w:kern w:val="0"/>
                <w:lang w:val="en-CA"/>
                <w14:ligatures w14:val="none"/>
              </w:rPr>
              <w:t># NBP</w:t>
            </w:r>
          </w:p>
        </w:tc>
        <w:tc>
          <w:tcPr>
            <w:tcW w:w="3819" w:type="dxa"/>
            <w:tcBorders>
              <w:top w:val="single" w:color="auto" w:sz="8" w:space="0"/>
              <w:left w:val="single" w:color="auto" w:sz="8" w:space="0"/>
              <w:bottom w:val="nil"/>
              <w:right w:val="single" w:color="auto" w:sz="8" w:space="0"/>
            </w:tcBorders>
            <w:shd w:val="clear" w:color="auto" w:fill="8F001A"/>
            <w:tcMar/>
            <w:vAlign w:val="center"/>
            <w:hideMark/>
          </w:tcPr>
          <w:p w:rsidRPr="00AC0492" w:rsidR="00AC0492" w:rsidP="00AC0492" w:rsidRDefault="00AC0492" w14:paraId="77FE9301" w14:textId="77777777">
            <w:pPr>
              <w:jc w:val="center"/>
              <w:rPr>
                <w:rFonts w:ascii="Times New Roman" w:hAnsi="Times New Roman" w:eastAsia="Times New Roman" w:cs="Times New Roman"/>
                <w:b/>
                <w:bCs/>
                <w:color w:val="FFFFFF"/>
                <w:kern w:val="0"/>
                <w14:ligatures w14:val="none"/>
              </w:rPr>
            </w:pPr>
            <w:r w:rsidRPr="00AC0492">
              <w:rPr>
                <w:rFonts w:ascii="Times New Roman" w:hAnsi="Times New Roman" w:eastAsia="Times New Roman" w:cs="Times New Roman"/>
                <w:b/>
                <w:bCs/>
                <w:color w:val="FFFFFF"/>
                <w:kern w:val="0"/>
                <w14:ligatures w14:val="none"/>
              </w:rPr>
              <w:t>Version originale de la NBP</w:t>
            </w:r>
          </w:p>
        </w:tc>
        <w:tc>
          <w:tcPr>
            <w:tcW w:w="3595" w:type="dxa"/>
            <w:tcBorders>
              <w:top w:val="single" w:color="auto" w:sz="8" w:space="0"/>
              <w:left w:val="nil"/>
              <w:bottom w:val="nil"/>
              <w:right w:val="single" w:color="auto" w:sz="8" w:space="0"/>
            </w:tcBorders>
            <w:shd w:val="clear" w:color="auto" w:fill="8F001A"/>
            <w:tcMar/>
            <w:vAlign w:val="center"/>
            <w:hideMark/>
          </w:tcPr>
          <w:p w:rsidRPr="00AC0492" w:rsidR="00AC0492" w:rsidP="00AC0492" w:rsidRDefault="00AC0492" w14:paraId="7C5A94C1" w14:textId="77777777">
            <w:pPr>
              <w:jc w:val="center"/>
              <w:rPr>
                <w:rFonts w:ascii="Times New Roman" w:hAnsi="Times New Roman" w:eastAsia="Times New Roman" w:cs="Times New Roman"/>
                <w:b/>
                <w:bCs/>
                <w:color w:val="FFFFFF"/>
                <w:kern w:val="0"/>
                <w14:ligatures w14:val="none"/>
              </w:rPr>
            </w:pPr>
            <w:r w:rsidRPr="00AC0492">
              <w:rPr>
                <w:rFonts w:ascii="Times New Roman" w:hAnsi="Times New Roman" w:eastAsia="Times New Roman" w:cs="Times New Roman"/>
                <w:b/>
                <w:bCs/>
                <w:color w:val="FFFFFF"/>
                <w:kern w:val="0"/>
                <w14:ligatures w14:val="none"/>
              </w:rPr>
              <w:t xml:space="preserve">Commentaires et justifications selon le </w:t>
            </w:r>
            <w:r w:rsidRPr="00AC0492">
              <w:rPr>
                <w:rFonts w:ascii="Times New Roman" w:hAnsi="Times New Roman" w:eastAsia="Times New Roman" w:cs="Times New Roman"/>
                <w:b/>
                <w:bCs/>
                <w:i/>
                <w:iCs/>
                <w:color w:val="FFFFFF"/>
                <w:kern w:val="0"/>
                <w14:ligatures w14:val="none"/>
              </w:rPr>
              <w:t>Guide McGill</w:t>
            </w:r>
            <w:r w:rsidRPr="00AC0492">
              <w:rPr>
                <w:rFonts w:ascii="Times New Roman" w:hAnsi="Times New Roman" w:eastAsia="Times New Roman" w:cs="Times New Roman"/>
                <w:b/>
                <w:bCs/>
                <w:color w:val="FFFFFF"/>
                <w:kern w:val="0"/>
                <w14:ligatures w14:val="none"/>
              </w:rPr>
              <w:t xml:space="preserve"> </w:t>
            </w:r>
          </w:p>
        </w:tc>
        <w:tc>
          <w:tcPr>
            <w:tcW w:w="3938" w:type="dxa"/>
            <w:tcBorders>
              <w:top w:val="single" w:color="auto" w:sz="8" w:space="0"/>
              <w:left w:val="nil"/>
              <w:bottom w:val="nil"/>
              <w:right w:val="single" w:color="auto" w:sz="8" w:space="0"/>
            </w:tcBorders>
            <w:shd w:val="clear" w:color="auto" w:fill="8F001A"/>
            <w:tcMar/>
            <w:vAlign w:val="center"/>
            <w:hideMark/>
          </w:tcPr>
          <w:p w:rsidRPr="00AC0492" w:rsidR="00AC0492" w:rsidP="00AC0492" w:rsidRDefault="00AC0492" w14:paraId="3A09B902" w14:textId="77777777">
            <w:pPr>
              <w:jc w:val="center"/>
              <w:rPr>
                <w:rFonts w:ascii="Times New Roman" w:hAnsi="Times New Roman" w:eastAsia="Times New Roman" w:cs="Times New Roman"/>
                <w:b/>
                <w:bCs/>
                <w:color w:val="FFFFFF"/>
                <w:kern w:val="0"/>
                <w14:ligatures w14:val="none"/>
              </w:rPr>
            </w:pPr>
            <w:r w:rsidRPr="00AC0492">
              <w:rPr>
                <w:rFonts w:ascii="Times New Roman" w:hAnsi="Times New Roman" w:eastAsia="Times New Roman" w:cs="Times New Roman"/>
                <w:b/>
                <w:bCs/>
                <w:color w:val="FFFFFF"/>
                <w:kern w:val="0"/>
                <w14:ligatures w14:val="none"/>
              </w:rPr>
              <w:t>Version révisée de la NBP, avec modifications en rouge</w:t>
            </w:r>
          </w:p>
        </w:tc>
        <w:tc>
          <w:tcPr>
            <w:tcW w:w="2522" w:type="dxa"/>
            <w:tcBorders>
              <w:top w:val="single" w:color="auto" w:sz="8" w:space="0"/>
              <w:left w:val="nil"/>
              <w:bottom w:val="nil"/>
              <w:right w:val="single" w:color="auto" w:sz="8" w:space="0"/>
            </w:tcBorders>
            <w:shd w:val="clear" w:color="auto" w:fill="8F001A"/>
            <w:tcMar/>
            <w:vAlign w:val="center"/>
            <w:hideMark/>
          </w:tcPr>
          <w:p w:rsidRPr="00AC0492" w:rsidR="00AC0492" w:rsidP="00AC0492" w:rsidRDefault="00AC0492" w14:paraId="220B562C" w14:textId="77777777">
            <w:pPr>
              <w:jc w:val="center"/>
              <w:rPr>
                <w:rFonts w:ascii="Times New Roman" w:hAnsi="Times New Roman" w:eastAsia="Times New Roman" w:cs="Times New Roman"/>
                <w:b/>
                <w:bCs/>
                <w:color w:val="FFFFFF"/>
                <w:kern w:val="0"/>
                <w14:ligatures w14:val="none"/>
              </w:rPr>
            </w:pPr>
            <w:r w:rsidRPr="00AC0492">
              <w:rPr>
                <w:rFonts w:ascii="Times New Roman" w:hAnsi="Times New Roman" w:eastAsia="Times New Roman" w:cs="Times New Roman"/>
                <w:b/>
                <w:bCs/>
                <w:color w:val="FFFFFF"/>
                <w:kern w:val="0"/>
                <w14:ligatures w14:val="none"/>
              </w:rPr>
              <w:t>Est-ce que la source supporte ce que dit l'auteur(e)?</w:t>
            </w:r>
          </w:p>
        </w:tc>
      </w:tr>
      <w:tr w:rsidRPr="00AC0492" w:rsidR="00AC0492" w:rsidTr="276AEDD1" w14:paraId="0B37CCD7" w14:textId="77777777">
        <w:trPr>
          <w:trHeight w:val="3205"/>
        </w:trPr>
        <w:tc>
          <w:tcPr>
            <w:tcW w:w="70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AC0492" w:rsidR="00AC0492" w:rsidP="00AC0492" w:rsidRDefault="00AC0492" w14:paraId="15BAB699" w14:textId="77777777">
            <w:pPr>
              <w:jc w:val="center"/>
              <w:rPr>
                <w:rFonts w:ascii="Times New Roman" w:hAnsi="Times New Roman" w:eastAsia="Times New Roman" w:cs="Times New Roman"/>
                <w:b/>
                <w:bCs/>
                <w:color w:val="000000"/>
                <w:kern w:val="0"/>
                <w:sz w:val="20"/>
                <w:szCs w:val="20"/>
                <w:lang w:val="en-CA"/>
                <w14:ligatures w14:val="none"/>
              </w:rPr>
            </w:pPr>
            <w:r w:rsidRPr="00AC0492">
              <w:rPr>
                <w:rFonts w:ascii="Times New Roman" w:hAnsi="Times New Roman" w:eastAsia="Times New Roman" w:cs="Times New Roman"/>
                <w:b/>
                <w:bCs/>
                <w:color w:val="000000"/>
                <w:kern w:val="0"/>
                <w:sz w:val="20"/>
                <w:szCs w:val="20"/>
                <w:lang w:val="en-CA"/>
                <w14:ligatures w14:val="none"/>
              </w:rPr>
              <w:t># NBP</w:t>
            </w:r>
          </w:p>
        </w:tc>
        <w:tc>
          <w:tcPr>
            <w:tcW w:w="3819"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AC0492" w:rsidR="00AC0492" w:rsidP="00AC0492" w:rsidRDefault="00AC0492" w14:paraId="36FBBED5" w14:textId="77777777">
            <w:pPr>
              <w:rPr>
                <w:rFonts w:ascii="Times New Roman" w:hAnsi="Times New Roman" w:eastAsia="Times New Roman" w:cs="Times New Roman"/>
                <w:b/>
                <w:bCs/>
                <w:color w:val="000000"/>
                <w:kern w:val="0"/>
                <w:sz w:val="20"/>
                <w:szCs w:val="20"/>
                <w14:ligatures w14:val="none"/>
              </w:rPr>
            </w:pPr>
            <w:r w:rsidRPr="00AC0492">
              <w:rPr>
                <w:rFonts w:ascii="Times New Roman" w:hAnsi="Times New Roman" w:eastAsia="Times New Roman" w:cs="Times New Roman"/>
                <w:b/>
                <w:bCs/>
                <w:color w:val="000000"/>
                <w:kern w:val="0"/>
                <w:sz w:val="20"/>
                <w:szCs w:val="20"/>
                <w14:ligatures w14:val="none"/>
              </w:rPr>
              <w:t>Version originale de la NBP dans l'article</w:t>
            </w:r>
          </w:p>
        </w:tc>
        <w:tc>
          <w:tcPr>
            <w:tcW w:w="3595"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AC0492" w:rsidR="00AC0492" w:rsidP="00AC0492" w:rsidRDefault="00AC0492" w14:paraId="72D4D482" w14:textId="77777777">
            <w:pPr>
              <w:rPr>
                <w:rFonts w:ascii="Times New Roman" w:hAnsi="Times New Roman" w:eastAsia="Times New Roman" w:cs="Times New Roman"/>
                <w:b/>
                <w:bCs/>
                <w:color w:val="000000"/>
                <w:kern w:val="0"/>
                <w:sz w:val="20"/>
                <w:szCs w:val="20"/>
                <w14:ligatures w14:val="none"/>
              </w:rPr>
            </w:pPr>
            <w:r w:rsidRPr="00AC0492">
              <w:rPr>
                <w:rFonts w:ascii="Times New Roman" w:hAnsi="Times New Roman" w:eastAsia="Times New Roman" w:cs="Times New Roman"/>
                <w:b/>
                <w:bCs/>
                <w:i/>
                <w:iCs/>
                <w:color w:val="000000"/>
                <w:kern w:val="0"/>
                <w:sz w:val="20"/>
                <w:szCs w:val="20"/>
                <w14:ligatures w14:val="none"/>
              </w:rPr>
              <w:t>McGill</w:t>
            </w:r>
            <w:r w:rsidRPr="00AC0492">
              <w:rPr>
                <w:rFonts w:ascii="Times New Roman" w:hAnsi="Times New Roman" w:eastAsia="Times New Roman" w:cs="Times New Roman"/>
                <w:b/>
                <w:bCs/>
                <w:color w:val="000000"/>
                <w:kern w:val="0"/>
                <w:sz w:val="20"/>
                <w:szCs w:val="20"/>
                <w14:ligatures w14:val="none"/>
              </w:rPr>
              <w:t>, Section, Titre de la section dans le</w:t>
            </w:r>
            <w:r w:rsidRPr="00AC0492">
              <w:rPr>
                <w:rFonts w:ascii="Times New Roman" w:hAnsi="Times New Roman" w:eastAsia="Times New Roman" w:cs="Times New Roman"/>
                <w:b/>
                <w:bCs/>
                <w:i/>
                <w:iCs/>
                <w:color w:val="000000"/>
                <w:kern w:val="0"/>
                <w:sz w:val="20"/>
                <w:szCs w:val="20"/>
                <w14:ligatures w14:val="none"/>
              </w:rPr>
              <w:t xml:space="preserve"> GM</w:t>
            </w:r>
            <w:r w:rsidRPr="00AC0492">
              <w:rPr>
                <w:rFonts w:ascii="Times New Roman" w:hAnsi="Times New Roman" w:eastAsia="Times New Roman" w:cs="Times New Roman"/>
                <w:b/>
                <w:bCs/>
                <w:color w:val="000000"/>
                <w:kern w:val="0"/>
                <w:sz w:val="20"/>
                <w:szCs w:val="20"/>
                <w14:ligatures w14:val="none"/>
              </w:rPr>
              <w:t>:</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 Description courte des changements</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*Note: Pour créer une nouvelle ligne de texte à l'intérieur d'une cellule (comme indiqué ci-dessous) :</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1. Double-cliquez sur la cellule dans laquelle vous souhaitez insérer un saut de ligne.</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2. Cliquez sur l'endroit de la cellule sélectionnée où vous souhaitez insérer un saut de ligne.</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 xml:space="preserve">3. Utilisez les raccourcis </w:t>
            </w:r>
            <w:proofErr w:type="gramStart"/>
            <w:r w:rsidRPr="00AC0492">
              <w:rPr>
                <w:rFonts w:ascii="Times New Roman" w:hAnsi="Times New Roman" w:eastAsia="Times New Roman" w:cs="Times New Roman"/>
                <w:b/>
                <w:bCs/>
                <w:color w:val="000000"/>
                <w:kern w:val="0"/>
                <w:sz w:val="20"/>
                <w:szCs w:val="20"/>
                <w14:ligatures w14:val="none"/>
              </w:rPr>
              <w:t>clavier suivants</w:t>
            </w:r>
            <w:proofErr w:type="gramEnd"/>
            <w:r w:rsidRPr="00AC0492">
              <w:rPr>
                <w:rFonts w:ascii="Times New Roman" w:hAnsi="Times New Roman" w:eastAsia="Times New Roman" w:cs="Times New Roman"/>
                <w:b/>
                <w:bCs/>
                <w:color w:val="000000"/>
                <w:kern w:val="0"/>
                <w:sz w:val="20"/>
                <w:szCs w:val="20"/>
                <w14:ligatures w14:val="none"/>
              </w:rPr>
              <w:t xml:space="preserve"> :</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 MAC : Command (</w:t>
            </w:r>
            <w:r w:rsidRPr="00AC0492">
              <w:rPr>
                <w:rFonts w:ascii="Cambria Math" w:hAnsi="Cambria Math" w:eastAsia="Times New Roman" w:cs="Cambria Math"/>
                <w:b/>
                <w:bCs/>
                <w:color w:val="000000"/>
                <w:kern w:val="0"/>
                <w:sz w:val="20"/>
                <w:szCs w:val="20"/>
                <w14:ligatures w14:val="none"/>
              </w:rPr>
              <w:t>⌘</w:t>
            </w:r>
            <w:r w:rsidRPr="00AC0492">
              <w:rPr>
                <w:rFonts w:ascii="Times New Roman" w:hAnsi="Times New Roman" w:eastAsia="Times New Roman" w:cs="Times New Roman"/>
                <w:b/>
                <w:bCs/>
                <w:color w:val="000000"/>
                <w:kern w:val="0"/>
                <w:sz w:val="20"/>
                <w:szCs w:val="20"/>
                <w14:ligatures w14:val="none"/>
              </w:rPr>
              <w:t>) + Shift (</w:t>
            </w:r>
            <w:r w:rsidRPr="00AC0492">
              <w:rPr>
                <w:rFonts w:ascii="Cambria Math" w:hAnsi="Cambria Math" w:eastAsia="Times New Roman" w:cs="Cambria Math"/>
                <w:b/>
                <w:bCs/>
                <w:color w:val="000000"/>
                <w:kern w:val="0"/>
                <w:sz w:val="20"/>
                <w:szCs w:val="20"/>
                <w14:ligatures w14:val="none"/>
              </w:rPr>
              <w:t>⇧</w:t>
            </w:r>
            <w:r w:rsidRPr="00AC0492">
              <w:rPr>
                <w:rFonts w:ascii="Times New Roman" w:hAnsi="Times New Roman" w:eastAsia="Times New Roman" w:cs="Times New Roman"/>
                <w:b/>
                <w:bCs/>
                <w:color w:val="000000"/>
                <w:kern w:val="0"/>
                <w:sz w:val="20"/>
                <w:szCs w:val="20"/>
                <w14:ligatures w14:val="none"/>
              </w:rPr>
              <w:t>) + Entrer (</w:t>
            </w:r>
            <w:r w:rsidRPr="00AC0492">
              <w:rPr>
                <w:rFonts w:ascii="Cambria Math" w:hAnsi="Cambria Math" w:eastAsia="Times New Roman" w:cs="Cambria Math"/>
                <w:b/>
                <w:bCs/>
                <w:color w:val="000000"/>
                <w:kern w:val="0"/>
                <w:sz w:val="20"/>
                <w:szCs w:val="20"/>
                <w14:ligatures w14:val="none"/>
              </w:rPr>
              <w:t>⏎</w:t>
            </w:r>
            <w:r w:rsidRPr="00AC0492">
              <w:rPr>
                <w:rFonts w:ascii="Times New Roman" w:hAnsi="Times New Roman" w:eastAsia="Times New Roman" w:cs="Times New Roman"/>
                <w:b/>
                <w:bCs/>
                <w:color w:val="000000"/>
                <w:kern w:val="0"/>
                <w:sz w:val="20"/>
                <w:szCs w:val="20"/>
                <w14:ligatures w14:val="none"/>
              </w:rPr>
              <w:t>)</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 WINDOWS : Alt + Enter</w:t>
            </w:r>
          </w:p>
        </w:tc>
        <w:tc>
          <w:tcPr>
            <w:tcW w:w="3938"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AC0492" w:rsidR="00AC0492" w:rsidP="00AC0492" w:rsidRDefault="00AC0492" w14:paraId="69E964FA" w14:textId="77777777">
            <w:pPr>
              <w:rPr>
                <w:rFonts w:ascii="Times New Roman" w:hAnsi="Times New Roman" w:eastAsia="Times New Roman" w:cs="Times New Roman"/>
                <w:b/>
                <w:bCs/>
                <w:color w:val="000000"/>
                <w:kern w:val="0"/>
                <w:sz w:val="20"/>
                <w:szCs w:val="20"/>
                <w14:ligatures w14:val="none"/>
              </w:rPr>
            </w:pPr>
            <w:r w:rsidRPr="00AC0492">
              <w:rPr>
                <w:rFonts w:ascii="Times New Roman" w:hAnsi="Times New Roman" w:eastAsia="Times New Roman" w:cs="Times New Roman"/>
                <w:b/>
                <w:bCs/>
                <w:color w:val="000000"/>
                <w:kern w:val="0"/>
                <w:sz w:val="20"/>
                <w:szCs w:val="20"/>
                <w14:ligatures w14:val="none"/>
              </w:rPr>
              <w:t xml:space="preserve">Version révisée de la note de bas de page avec les changements en </w:t>
            </w:r>
            <w:r w:rsidRPr="00AC0492">
              <w:rPr>
                <w:rFonts w:ascii="Times New Roman" w:hAnsi="Times New Roman" w:eastAsia="Times New Roman" w:cs="Times New Roman"/>
                <w:b/>
                <w:bCs/>
                <w:color w:val="FF0000"/>
                <w:kern w:val="0"/>
                <w:sz w:val="20"/>
                <w:szCs w:val="20"/>
                <w14:ligatures w14:val="none"/>
              </w:rPr>
              <w:t>rouge</w:t>
            </w:r>
            <w:r w:rsidRPr="00AC0492">
              <w:rPr>
                <w:rFonts w:ascii="Times New Roman" w:hAnsi="Times New Roman" w:eastAsia="Times New Roman" w:cs="Times New Roman"/>
                <w:b/>
                <w:bCs/>
                <w:color w:val="000000"/>
                <w:kern w:val="0"/>
                <w:sz w:val="20"/>
                <w:szCs w:val="20"/>
                <w14:ligatures w14:val="none"/>
              </w:rPr>
              <w:t xml:space="preserve">. </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u w:val="single"/>
                <w14:ligatures w14:val="none"/>
              </w:rPr>
              <w:t>Ne modifiez pas</w:t>
            </w:r>
            <w:r w:rsidRPr="00AC0492">
              <w:rPr>
                <w:rFonts w:ascii="Times New Roman" w:hAnsi="Times New Roman" w:eastAsia="Times New Roman" w:cs="Times New Roman"/>
                <w:b/>
                <w:bCs/>
                <w:color w:val="000000"/>
                <w:kern w:val="0"/>
                <w:sz w:val="20"/>
                <w:szCs w:val="20"/>
                <w14:ligatures w14:val="none"/>
              </w:rPr>
              <w:t xml:space="preserve"> la NBP directement dans l'article. </w:t>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br/>
            </w:r>
            <w:r w:rsidRPr="00AC0492">
              <w:rPr>
                <w:rFonts w:ascii="Times New Roman" w:hAnsi="Times New Roman" w:eastAsia="Times New Roman" w:cs="Times New Roman"/>
                <w:b/>
                <w:bCs/>
                <w:color w:val="000000"/>
                <w:kern w:val="0"/>
                <w:sz w:val="20"/>
                <w:szCs w:val="20"/>
                <w14:ligatures w14:val="none"/>
              </w:rPr>
              <w:t>Si aucune modification supplémentaire n'est nécessaire, veuillez écrire "N/A".</w:t>
            </w:r>
          </w:p>
        </w:tc>
        <w:tc>
          <w:tcPr>
            <w:tcW w:w="2522" w:type="dxa"/>
            <w:tcBorders>
              <w:top w:val="single" w:color="auto" w:sz="4" w:space="0"/>
              <w:left w:val="nil"/>
              <w:bottom w:val="single" w:color="auto" w:sz="4" w:space="0"/>
              <w:right w:val="single" w:color="auto" w:sz="4" w:space="0"/>
            </w:tcBorders>
            <w:shd w:val="clear" w:color="auto" w:fill="D9D9D9" w:themeFill="background1" w:themeFillShade="D9"/>
            <w:tcMar/>
            <w:vAlign w:val="center"/>
            <w:hideMark/>
          </w:tcPr>
          <w:p w:rsidRPr="00AC0492" w:rsidR="00AC0492" w:rsidP="00AC0492" w:rsidRDefault="00AC0492" w14:paraId="39D3BE49" w14:textId="77777777">
            <w:pPr>
              <w:rPr>
                <w:rFonts w:ascii="Times New Roman" w:hAnsi="Times New Roman" w:eastAsia="Times New Roman" w:cs="Times New Roman"/>
                <w:b/>
                <w:bCs/>
                <w:color w:val="000000"/>
                <w:kern w:val="0"/>
                <w:sz w:val="20"/>
                <w:szCs w:val="20"/>
                <w:lang w:val="en-CA"/>
                <w14:ligatures w14:val="none"/>
              </w:rPr>
            </w:pPr>
            <w:r w:rsidRPr="00AC0492">
              <w:rPr>
                <w:rFonts w:ascii="Times New Roman" w:hAnsi="Times New Roman" w:eastAsia="Times New Roman" w:cs="Times New Roman"/>
                <w:b/>
                <w:bCs/>
                <w:color w:val="000000"/>
                <w:kern w:val="0"/>
                <w:sz w:val="20"/>
                <w:szCs w:val="20"/>
                <w:lang w:val="en-CA"/>
                <w14:ligatures w14:val="none"/>
              </w:rPr>
              <w:t xml:space="preserve">Oui </w:t>
            </w:r>
            <w:proofErr w:type="spellStart"/>
            <w:r w:rsidRPr="00AC0492">
              <w:rPr>
                <w:rFonts w:ascii="Times New Roman" w:hAnsi="Times New Roman" w:eastAsia="Times New Roman" w:cs="Times New Roman"/>
                <w:b/>
                <w:bCs/>
                <w:color w:val="000000"/>
                <w:kern w:val="0"/>
                <w:sz w:val="20"/>
                <w:szCs w:val="20"/>
                <w:lang w:val="en-CA"/>
                <w14:ligatures w14:val="none"/>
              </w:rPr>
              <w:t>ou</w:t>
            </w:r>
            <w:proofErr w:type="spellEnd"/>
            <w:r w:rsidRPr="00AC0492">
              <w:rPr>
                <w:rFonts w:ascii="Times New Roman" w:hAnsi="Times New Roman" w:eastAsia="Times New Roman" w:cs="Times New Roman"/>
                <w:b/>
                <w:bCs/>
                <w:color w:val="000000"/>
                <w:kern w:val="0"/>
                <w:sz w:val="20"/>
                <w:szCs w:val="20"/>
                <w:lang w:val="en-CA"/>
                <w14:ligatures w14:val="none"/>
              </w:rPr>
              <w:t xml:space="preserve"> non.</w:t>
            </w:r>
          </w:p>
        </w:tc>
      </w:tr>
      <w:tr w:rsidRPr="00AC0492" w:rsidR="00AC0492" w:rsidTr="276AEDD1" w14:paraId="148DD9F9" w14:textId="77777777">
        <w:trPr>
          <w:trHeight w:val="2404"/>
        </w:trPr>
        <w:tc>
          <w:tcPr>
            <w:tcW w:w="701" w:type="dxa"/>
            <w:tcBorders>
              <w:top w:val="nil"/>
              <w:left w:val="single" w:color="auto" w:sz="4" w:space="0"/>
              <w:bottom w:val="single" w:color="auto" w:sz="4" w:space="0"/>
              <w:right w:val="single" w:color="auto" w:sz="4" w:space="0"/>
            </w:tcBorders>
            <w:shd w:val="clear" w:color="auto" w:fill="FFFFFF" w:themeFill="background1"/>
            <w:noWrap/>
            <w:tcMar/>
            <w:vAlign w:val="center"/>
            <w:hideMark/>
          </w:tcPr>
          <w:p w:rsidRPr="00AC0492" w:rsidR="00AC0492" w:rsidP="00AC0492" w:rsidRDefault="00AC0492" w14:paraId="76BA112B" w14:textId="77777777">
            <w:pPr>
              <w:jc w:val="center"/>
              <w:rPr>
                <w:rFonts w:ascii="Times New Roman" w:hAnsi="Times New Roman" w:eastAsia="Times New Roman" w:cs="Times New Roman"/>
                <w:color w:val="000000"/>
                <w:kern w:val="0"/>
                <w:sz w:val="20"/>
                <w:szCs w:val="20"/>
                <w:lang w:val="en-CA"/>
                <w14:ligatures w14:val="none"/>
              </w:rPr>
            </w:pPr>
            <w:r w:rsidRPr="00AC0492">
              <w:rPr>
                <w:rFonts w:ascii="Times New Roman" w:hAnsi="Times New Roman" w:eastAsia="Times New Roman" w:cs="Times New Roman"/>
                <w:color w:val="000000"/>
                <w:kern w:val="0"/>
                <w:sz w:val="20"/>
                <w:szCs w:val="20"/>
                <w:lang w:val="en-CA"/>
                <w14:ligatures w14:val="none"/>
              </w:rPr>
              <w:t>001</w:t>
            </w:r>
          </w:p>
        </w:tc>
        <w:tc>
          <w:tcPr>
            <w:tcW w:w="3819" w:type="dxa"/>
            <w:tcBorders>
              <w:top w:val="nil"/>
              <w:left w:val="nil"/>
              <w:bottom w:val="single" w:color="auto" w:sz="4" w:space="0"/>
              <w:right w:val="nil"/>
            </w:tcBorders>
            <w:noWrap/>
            <w:tcMar/>
            <w:vAlign w:val="center"/>
            <w:hideMark/>
          </w:tcPr>
          <w:p w:rsidRPr="00AC0492" w:rsidR="00AC0492" w:rsidP="00AC0492" w:rsidRDefault="00AC0492" w14:paraId="5B31A03F" w14:textId="77777777">
            <w:pPr>
              <w:rPr>
                <w:rFonts w:ascii="Times New Roman" w:hAnsi="Times New Roman" w:eastAsia="Times New Roman" w:cs="Times New Roman"/>
                <w:i/>
                <w:iCs/>
                <w:color w:val="000000"/>
                <w:kern w:val="0"/>
                <w:sz w:val="20"/>
                <w:szCs w:val="20"/>
                <w14:ligatures w14:val="none"/>
              </w:rPr>
            </w:pPr>
            <w:r w:rsidRPr="00AC0492">
              <w:rPr>
                <w:rFonts w:ascii="Times New Roman" w:hAnsi="Times New Roman" w:eastAsia="Times New Roman" w:cs="Times New Roman"/>
                <w:i/>
                <w:iCs/>
                <w:color w:val="000000"/>
                <w:kern w:val="0"/>
                <w:sz w:val="20"/>
                <w:szCs w:val="20"/>
                <w14:ligatures w14:val="none"/>
              </w:rPr>
              <w:t xml:space="preserve">R. v. </w:t>
            </w:r>
            <w:proofErr w:type="spellStart"/>
            <w:r w:rsidRPr="00AC0492">
              <w:rPr>
                <w:rFonts w:ascii="Times New Roman" w:hAnsi="Times New Roman" w:eastAsia="Times New Roman" w:cs="Times New Roman"/>
                <w:i/>
                <w:iCs/>
                <w:color w:val="000000"/>
                <w:kern w:val="0"/>
                <w:sz w:val="20"/>
                <w:szCs w:val="20"/>
                <w14:ligatures w14:val="none"/>
              </w:rPr>
              <w:t>Oakes</w:t>
            </w:r>
            <w:proofErr w:type="spellEnd"/>
            <w:r w:rsidRPr="00AC0492">
              <w:rPr>
                <w:rFonts w:ascii="Times New Roman" w:hAnsi="Times New Roman" w:eastAsia="Times New Roman" w:cs="Times New Roman"/>
                <w:color w:val="000000"/>
                <w:kern w:val="0"/>
                <w:sz w:val="20"/>
                <w:szCs w:val="20"/>
                <w14:ligatures w14:val="none"/>
              </w:rPr>
              <w:t>, 26 D.L.R. (4e) 200 au para 69.</w:t>
            </w:r>
          </w:p>
        </w:tc>
        <w:tc>
          <w:tcPr>
            <w:tcW w:w="3595"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C0492" w:rsidR="00AC0492" w:rsidP="00AC0492" w:rsidRDefault="00AC0492" w14:paraId="19DD73DF" w14:textId="77777777">
            <w:pPr>
              <w:rPr>
                <w:rFonts w:ascii="Times New Roman" w:hAnsi="Times New Roman" w:eastAsia="Times New Roman" w:cs="Times New Roman"/>
                <w:color w:val="000000"/>
                <w:kern w:val="0"/>
                <w:sz w:val="20"/>
                <w:szCs w:val="20"/>
                <w:lang w:val="en-CA"/>
                <w14:ligatures w14:val="none"/>
              </w:rPr>
            </w:pPr>
            <w:r w:rsidRPr="00AC0492">
              <w:rPr>
                <w:rFonts w:ascii="Times New Roman" w:hAnsi="Times New Roman" w:eastAsia="Times New Roman" w:cs="Times New Roman"/>
                <w:i/>
                <w:iCs/>
                <w:color w:val="000000"/>
                <w:kern w:val="0"/>
                <w:sz w:val="20"/>
                <w:szCs w:val="20"/>
                <w14:ligatures w14:val="none"/>
              </w:rPr>
              <w:t>GM</w:t>
            </w:r>
            <w:r w:rsidRPr="00AC0492">
              <w:rPr>
                <w:rFonts w:ascii="Times New Roman" w:hAnsi="Times New Roman" w:eastAsia="Times New Roman" w:cs="Times New Roman"/>
                <w:color w:val="000000"/>
                <w:kern w:val="0"/>
                <w:sz w:val="20"/>
                <w:szCs w:val="20"/>
                <w14:ligatures w14:val="none"/>
              </w:rPr>
              <w:t xml:space="preserve">, 3.3, Intitulé : </w:t>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color w:val="000000"/>
                <w:kern w:val="0"/>
                <w:sz w:val="20"/>
                <w:szCs w:val="20"/>
                <w14:ligatures w14:val="none"/>
              </w:rPr>
              <w:t>- Intitulé sans points et avec un c</w:t>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i/>
                <w:iCs/>
                <w:color w:val="000000"/>
                <w:kern w:val="0"/>
                <w:sz w:val="20"/>
                <w:szCs w:val="20"/>
                <w14:ligatures w14:val="none"/>
              </w:rPr>
              <w:t>GM</w:t>
            </w:r>
            <w:r w:rsidRPr="00AC0492">
              <w:rPr>
                <w:rFonts w:ascii="Times New Roman" w:hAnsi="Times New Roman" w:eastAsia="Times New Roman" w:cs="Times New Roman"/>
                <w:color w:val="000000"/>
                <w:kern w:val="0"/>
                <w:sz w:val="20"/>
                <w:szCs w:val="20"/>
                <w14:ligatures w14:val="none"/>
              </w:rPr>
              <w:t xml:space="preserve">, 3.1, Sources : </w:t>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color w:val="000000"/>
                <w:kern w:val="0"/>
                <w:sz w:val="20"/>
                <w:szCs w:val="20"/>
                <w14:ligatures w14:val="none"/>
              </w:rPr>
              <w:t xml:space="preserve">- Citation CanLII manquante </w:t>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i/>
                <w:iCs/>
                <w:color w:val="000000"/>
                <w:kern w:val="0"/>
                <w:sz w:val="20"/>
                <w:szCs w:val="20"/>
                <w14:ligatures w14:val="none"/>
              </w:rPr>
              <w:t>GM</w:t>
            </w:r>
            <w:r w:rsidRPr="00AC0492">
              <w:rPr>
                <w:rFonts w:ascii="Times New Roman" w:hAnsi="Times New Roman" w:eastAsia="Times New Roman" w:cs="Times New Roman"/>
                <w:color w:val="000000"/>
                <w:kern w:val="0"/>
                <w:sz w:val="20"/>
                <w:szCs w:val="20"/>
                <w14:ligatures w14:val="none"/>
              </w:rPr>
              <w:t>, 3.6.1, Référence précise :</w:t>
            </w:r>
            <w:r w:rsidRPr="00AC0492">
              <w:rPr>
                <w:rFonts w:ascii="Times New Roman" w:hAnsi="Times New Roman" w:eastAsia="Times New Roman" w:cs="Times New Roman"/>
                <w:color w:val="000000"/>
                <w:kern w:val="0"/>
                <w:sz w:val="20"/>
                <w:szCs w:val="20"/>
                <w14:ligatures w14:val="none"/>
              </w:rPr>
              <w:br/>
            </w:r>
            <w:r w:rsidRPr="00AC0492">
              <w:rPr>
                <w:rFonts w:ascii="Times New Roman" w:hAnsi="Times New Roman" w:eastAsia="Times New Roman" w:cs="Times New Roman"/>
                <w:color w:val="000000"/>
                <w:kern w:val="0"/>
                <w:sz w:val="20"/>
                <w:szCs w:val="20"/>
                <w14:ligatures w14:val="none"/>
              </w:rPr>
              <w:t xml:space="preserve">- Référence précise incorrecte. </w:t>
            </w:r>
            <w:proofErr w:type="spellStart"/>
            <w:r w:rsidRPr="00AC0492">
              <w:rPr>
                <w:rFonts w:ascii="Times New Roman" w:hAnsi="Times New Roman" w:eastAsia="Times New Roman" w:cs="Times New Roman"/>
                <w:color w:val="000000"/>
                <w:kern w:val="0"/>
                <w:sz w:val="20"/>
                <w:szCs w:val="20"/>
                <w:lang w:val="en-CA"/>
                <w14:ligatures w14:val="none"/>
              </w:rPr>
              <w:t>Référence</w:t>
            </w:r>
            <w:proofErr w:type="spellEnd"/>
            <w:r w:rsidRPr="00AC0492">
              <w:rPr>
                <w:rFonts w:ascii="Times New Roman" w:hAnsi="Times New Roman" w:eastAsia="Times New Roman" w:cs="Times New Roman"/>
                <w:color w:val="000000"/>
                <w:kern w:val="0"/>
                <w:sz w:val="20"/>
                <w:szCs w:val="20"/>
                <w:lang w:val="en-CA"/>
                <w14:ligatures w14:val="none"/>
              </w:rPr>
              <w:t xml:space="preserve"> </w:t>
            </w:r>
            <w:proofErr w:type="spellStart"/>
            <w:r w:rsidRPr="00AC0492">
              <w:rPr>
                <w:rFonts w:ascii="Times New Roman" w:hAnsi="Times New Roman" w:eastAsia="Times New Roman" w:cs="Times New Roman"/>
                <w:color w:val="000000"/>
                <w:kern w:val="0"/>
                <w:sz w:val="20"/>
                <w:szCs w:val="20"/>
                <w:lang w:val="en-CA"/>
                <w14:ligatures w14:val="none"/>
              </w:rPr>
              <w:t>précise</w:t>
            </w:r>
            <w:proofErr w:type="spellEnd"/>
            <w:r w:rsidRPr="00AC0492">
              <w:rPr>
                <w:rFonts w:ascii="Times New Roman" w:hAnsi="Times New Roman" w:eastAsia="Times New Roman" w:cs="Times New Roman"/>
                <w:color w:val="000000"/>
                <w:kern w:val="0"/>
                <w:sz w:val="20"/>
                <w:szCs w:val="20"/>
                <w:lang w:val="en-CA"/>
                <w14:ligatures w14:val="none"/>
              </w:rPr>
              <w:t xml:space="preserve"> </w:t>
            </w:r>
            <w:proofErr w:type="spellStart"/>
            <w:r w:rsidRPr="00AC0492">
              <w:rPr>
                <w:rFonts w:ascii="Times New Roman" w:hAnsi="Times New Roman" w:eastAsia="Times New Roman" w:cs="Times New Roman"/>
                <w:color w:val="000000"/>
                <w:kern w:val="0"/>
                <w:sz w:val="20"/>
                <w:szCs w:val="20"/>
                <w:lang w:val="en-CA"/>
                <w14:ligatures w14:val="none"/>
              </w:rPr>
              <w:t>correcte</w:t>
            </w:r>
            <w:proofErr w:type="spellEnd"/>
            <w:r w:rsidRPr="00AC0492">
              <w:rPr>
                <w:rFonts w:ascii="Times New Roman" w:hAnsi="Times New Roman" w:eastAsia="Times New Roman" w:cs="Times New Roman"/>
                <w:color w:val="000000"/>
                <w:kern w:val="0"/>
                <w:sz w:val="20"/>
                <w:szCs w:val="20"/>
                <w:lang w:val="en-CA"/>
                <w14:ligatures w14:val="none"/>
              </w:rPr>
              <w:t xml:space="preserve"> a </w:t>
            </w:r>
            <w:proofErr w:type="spellStart"/>
            <w:r w:rsidRPr="00AC0492">
              <w:rPr>
                <w:rFonts w:ascii="Times New Roman" w:hAnsi="Times New Roman" w:eastAsia="Times New Roman" w:cs="Times New Roman"/>
                <w:color w:val="000000"/>
                <w:kern w:val="0"/>
                <w:sz w:val="20"/>
                <w:szCs w:val="20"/>
                <w:lang w:val="en-CA"/>
                <w14:ligatures w14:val="none"/>
              </w:rPr>
              <w:t>été</w:t>
            </w:r>
            <w:proofErr w:type="spellEnd"/>
            <w:r w:rsidRPr="00AC0492">
              <w:rPr>
                <w:rFonts w:ascii="Times New Roman" w:hAnsi="Times New Roman" w:eastAsia="Times New Roman" w:cs="Times New Roman"/>
                <w:color w:val="000000"/>
                <w:kern w:val="0"/>
                <w:sz w:val="20"/>
                <w:szCs w:val="20"/>
                <w:lang w:val="en-CA"/>
                <w14:ligatures w14:val="none"/>
              </w:rPr>
              <w:t xml:space="preserve"> </w:t>
            </w:r>
            <w:proofErr w:type="spellStart"/>
            <w:r w:rsidRPr="00AC0492">
              <w:rPr>
                <w:rFonts w:ascii="Times New Roman" w:hAnsi="Times New Roman" w:eastAsia="Times New Roman" w:cs="Times New Roman"/>
                <w:color w:val="000000"/>
                <w:kern w:val="0"/>
                <w:sz w:val="20"/>
                <w:szCs w:val="20"/>
                <w:lang w:val="en-CA"/>
                <w14:ligatures w14:val="none"/>
              </w:rPr>
              <w:t>ajouté</w:t>
            </w:r>
            <w:proofErr w:type="spellEnd"/>
          </w:p>
        </w:tc>
        <w:tc>
          <w:tcPr>
            <w:tcW w:w="3938" w:type="dxa"/>
            <w:tcBorders>
              <w:top w:val="nil"/>
              <w:left w:val="nil"/>
              <w:bottom w:val="single" w:color="auto" w:sz="4" w:space="0"/>
              <w:right w:val="nil"/>
            </w:tcBorders>
            <w:noWrap/>
            <w:tcMar/>
            <w:vAlign w:val="center"/>
            <w:hideMark/>
          </w:tcPr>
          <w:p w:rsidRPr="00AC0492" w:rsidR="00AC0492" w:rsidP="00AC0492" w:rsidRDefault="00AC0492" w14:paraId="5FB2E376" w14:textId="77777777">
            <w:pPr>
              <w:rPr>
                <w:rFonts w:ascii="Times New Roman" w:hAnsi="Times New Roman" w:eastAsia="Times New Roman" w:cs="Times New Roman"/>
                <w:i/>
                <w:iCs/>
                <w:color w:val="000000"/>
                <w:kern w:val="0"/>
                <w:sz w:val="20"/>
                <w:szCs w:val="20"/>
                <w14:ligatures w14:val="none"/>
              </w:rPr>
            </w:pPr>
            <w:r w:rsidRPr="00AC0492">
              <w:rPr>
                <w:rFonts w:ascii="Times New Roman" w:hAnsi="Times New Roman" w:eastAsia="Times New Roman" w:cs="Times New Roman"/>
                <w:i/>
                <w:iCs/>
                <w:color w:val="FF0000"/>
                <w:kern w:val="0"/>
                <w:sz w:val="20"/>
                <w:szCs w:val="20"/>
                <w14:ligatures w14:val="none"/>
              </w:rPr>
              <w:t>R c</w:t>
            </w:r>
            <w:r w:rsidRPr="00AC0492">
              <w:rPr>
                <w:rFonts w:ascii="Times New Roman" w:hAnsi="Times New Roman" w:eastAsia="Times New Roman" w:cs="Times New Roman"/>
                <w:i/>
                <w:iCs/>
                <w:color w:val="000000"/>
                <w:kern w:val="0"/>
                <w:sz w:val="20"/>
                <w:szCs w:val="20"/>
                <w14:ligatures w14:val="none"/>
              </w:rPr>
              <w:t xml:space="preserve"> </w:t>
            </w:r>
            <w:proofErr w:type="spellStart"/>
            <w:r w:rsidRPr="00AC0492">
              <w:rPr>
                <w:rFonts w:ascii="Times New Roman" w:hAnsi="Times New Roman" w:eastAsia="Times New Roman" w:cs="Times New Roman"/>
                <w:i/>
                <w:iCs/>
                <w:color w:val="000000"/>
                <w:kern w:val="0"/>
                <w:sz w:val="20"/>
                <w:szCs w:val="20"/>
                <w14:ligatures w14:val="none"/>
              </w:rPr>
              <w:t>Oakes</w:t>
            </w:r>
            <w:proofErr w:type="spellEnd"/>
            <w:r w:rsidRPr="00AC0492">
              <w:rPr>
                <w:rFonts w:ascii="Times New Roman" w:hAnsi="Times New Roman" w:eastAsia="Times New Roman" w:cs="Times New Roman"/>
                <w:color w:val="000000"/>
                <w:kern w:val="0"/>
                <w:sz w:val="20"/>
                <w:szCs w:val="20"/>
                <w14:ligatures w14:val="none"/>
              </w:rPr>
              <w:t xml:space="preserve">, </w:t>
            </w:r>
            <w:r w:rsidRPr="00AC0492">
              <w:rPr>
                <w:rFonts w:ascii="Times New Roman" w:hAnsi="Times New Roman" w:eastAsia="Times New Roman" w:cs="Times New Roman"/>
                <w:color w:val="FF0000"/>
                <w:kern w:val="0"/>
                <w:sz w:val="20"/>
                <w:szCs w:val="20"/>
                <w14:ligatures w14:val="none"/>
              </w:rPr>
              <w:t>1989 CanLII 46 au para 39 (CSC)</w:t>
            </w:r>
            <w:r w:rsidRPr="00AC0492">
              <w:rPr>
                <w:rFonts w:ascii="Times New Roman" w:hAnsi="Times New Roman" w:eastAsia="Times New Roman" w:cs="Times New Roman"/>
                <w:color w:val="000000"/>
                <w:kern w:val="0"/>
                <w:sz w:val="20"/>
                <w:szCs w:val="20"/>
                <w14:ligatures w14:val="none"/>
              </w:rPr>
              <w:t>.</w:t>
            </w:r>
          </w:p>
        </w:tc>
        <w:tc>
          <w:tcPr>
            <w:tcW w:w="2522" w:type="dxa"/>
            <w:tcBorders>
              <w:top w:val="nil"/>
              <w:left w:val="single" w:color="auto" w:sz="4" w:space="0"/>
              <w:bottom w:val="single" w:color="auto" w:sz="4" w:space="0"/>
              <w:right w:val="single" w:color="auto" w:sz="4" w:space="0"/>
            </w:tcBorders>
            <w:shd w:val="clear" w:color="auto" w:fill="FFFFFF" w:themeFill="background1"/>
            <w:tcMar/>
            <w:vAlign w:val="center"/>
            <w:hideMark/>
          </w:tcPr>
          <w:p w:rsidRPr="00AC0492" w:rsidR="00AC0492" w:rsidP="00AC0492" w:rsidRDefault="00AC0492" w14:paraId="6CCD2192" w14:textId="77777777">
            <w:pPr>
              <w:rPr>
                <w:rFonts w:ascii="Times New Roman" w:hAnsi="Times New Roman" w:eastAsia="Times New Roman" w:cs="Times New Roman"/>
                <w:color w:val="000000"/>
                <w:kern w:val="0"/>
                <w:sz w:val="20"/>
                <w:szCs w:val="20"/>
                <w:lang w:val="en-CA"/>
                <w14:ligatures w14:val="none"/>
              </w:rPr>
            </w:pPr>
            <w:r w:rsidRPr="00AC0492">
              <w:rPr>
                <w:rFonts w:ascii="Times New Roman" w:hAnsi="Times New Roman" w:eastAsia="Times New Roman" w:cs="Times New Roman"/>
                <w:color w:val="000000"/>
                <w:kern w:val="0"/>
                <w:sz w:val="20"/>
                <w:szCs w:val="20"/>
                <w:lang w:val="en-CA"/>
                <w14:ligatures w14:val="none"/>
              </w:rPr>
              <w:t>Oui</w:t>
            </w:r>
          </w:p>
        </w:tc>
      </w:tr>
      <w:tr w:rsidRPr="006E0274" w:rsidR="00AC0492" w:rsidTr="276AEDD1" w14:paraId="33178839" w14:textId="77777777">
        <w:trPr>
          <w:trHeight w:val="1124"/>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AC0492" w:rsidP="00AC0492" w:rsidRDefault="009A50C0" w14:paraId="3F029776" w14:textId="5592BB56">
            <w:pPr>
              <w:jc w:val="center"/>
              <w:rPr>
                <w:rFonts w:ascii="Times New Roman" w:hAnsi="Times New Roman" w:eastAsia="Times New Roman" w:cs="Times New Roman"/>
                <w:color w:val="000000"/>
                <w:kern w:val="0"/>
                <w:sz w:val="20"/>
                <w:szCs w:val="20"/>
                <w:lang w:val="en-CA"/>
                <w14:ligatures w14:val="none"/>
              </w:rPr>
            </w:pPr>
            <w:r w:rsidRPr="006E0274">
              <w:rPr>
                <w:rFonts w:ascii="Times New Roman" w:hAnsi="Times New Roman" w:eastAsia="Times New Roman" w:cs="Times New Roman"/>
                <w:color w:val="000000"/>
                <w:kern w:val="0"/>
                <w:sz w:val="20"/>
                <w:szCs w:val="20"/>
                <w:lang w:val="en-CA"/>
                <w14:ligatures w14:val="none"/>
              </w:rPr>
              <w:t>001</w:t>
            </w:r>
          </w:p>
        </w:tc>
        <w:tc>
          <w:tcPr>
            <w:tcW w:w="3819" w:type="dxa"/>
            <w:tcBorders>
              <w:top w:val="single" w:color="auto" w:sz="4" w:space="0"/>
              <w:left w:val="single" w:color="auto" w:sz="4" w:space="0"/>
              <w:bottom w:val="single" w:color="auto" w:sz="4" w:space="0"/>
              <w:right w:val="single" w:color="auto" w:sz="4" w:space="0"/>
            </w:tcBorders>
            <w:noWrap/>
            <w:tcMar/>
            <w:vAlign w:val="center"/>
          </w:tcPr>
          <w:p w:rsidRPr="008E1C77" w:rsidR="00AC0492" w:rsidP="00AC0492" w:rsidRDefault="008E1C77" w14:paraId="61795EFC" w14:textId="0B30DFC5">
            <w:pPr>
              <w:rPr>
                <w:rFonts w:ascii="Times New Roman" w:hAnsi="Times New Roman" w:eastAsia="Times New Roman" w:cs="Times New Roman"/>
                <w:color w:val="000000"/>
                <w:kern w:val="0"/>
                <w:sz w:val="20"/>
                <w:szCs w:val="20"/>
                <w14:ligatures w14:val="none"/>
              </w:rPr>
            </w:pPr>
            <w:r w:rsidRPr="008E1C77">
              <w:rPr>
                <w:rFonts w:ascii="Times New Roman" w:hAnsi="Times New Roman" w:cs="Times New Roman"/>
                <w:sz w:val="20"/>
                <w:szCs w:val="20"/>
              </w:rPr>
              <w:t xml:space="preserve">Loi constitutionnelle de 1867 (R-U) 30 &amp; 31 </w:t>
            </w:r>
            <w:proofErr w:type="spellStart"/>
            <w:r w:rsidRPr="008E1C77">
              <w:rPr>
                <w:rFonts w:ascii="Times New Roman" w:hAnsi="Times New Roman" w:cs="Times New Roman"/>
                <w:sz w:val="20"/>
                <w:szCs w:val="20"/>
              </w:rPr>
              <w:t>Vict</w:t>
            </w:r>
            <w:proofErr w:type="spellEnd"/>
            <w:r w:rsidRPr="008E1C77">
              <w:rPr>
                <w:rFonts w:ascii="Times New Roman" w:hAnsi="Times New Roman" w:cs="Times New Roman"/>
                <w:sz w:val="20"/>
                <w:szCs w:val="20"/>
              </w:rPr>
              <w:t xml:space="preserve">, c 3, reproduit dans LRC 1985, </w:t>
            </w:r>
            <w:proofErr w:type="spellStart"/>
            <w:r w:rsidRPr="008E1C77">
              <w:rPr>
                <w:rFonts w:ascii="Times New Roman" w:hAnsi="Times New Roman" w:cs="Times New Roman"/>
                <w:sz w:val="20"/>
                <w:szCs w:val="20"/>
              </w:rPr>
              <w:t>ann</w:t>
            </w:r>
            <w:proofErr w:type="spellEnd"/>
            <w:r w:rsidRPr="008E1C77">
              <w:rPr>
                <w:rFonts w:ascii="Times New Roman" w:hAnsi="Times New Roman" w:cs="Times New Roman"/>
                <w:sz w:val="20"/>
                <w:szCs w:val="20"/>
              </w:rPr>
              <w:t> II, n</w:t>
            </w:r>
            <w:r w:rsidRPr="008E1C77">
              <w:rPr>
                <w:rFonts w:ascii="Times New Roman" w:hAnsi="Times New Roman" w:cs="Times New Roman"/>
                <w:sz w:val="20"/>
                <w:szCs w:val="20"/>
                <w:vertAlign w:val="superscript"/>
              </w:rPr>
              <w:t>o</w:t>
            </w:r>
            <w:r w:rsidRPr="008E1C77">
              <w:rPr>
                <w:rFonts w:ascii="Times New Roman" w:hAnsi="Times New Roman" w:cs="Times New Roman"/>
                <w:sz w:val="20"/>
                <w:szCs w:val="20"/>
              </w:rPr>
              <w:t> 5, art 91.</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AC0492" w:rsidP="00AC0492" w:rsidRDefault="00AC0492" w14:paraId="083DD094"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single" w:color="auto" w:sz="4" w:space="0"/>
              <w:bottom w:val="single" w:color="auto" w:sz="4" w:space="0"/>
              <w:right w:val="single" w:color="auto" w:sz="4" w:space="0"/>
            </w:tcBorders>
            <w:noWrap/>
            <w:tcMar/>
            <w:vAlign w:val="center"/>
          </w:tcPr>
          <w:p w:rsidRPr="006E0274" w:rsidR="00AC0492" w:rsidP="00AC0492" w:rsidRDefault="00AC0492" w14:paraId="467767E0"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AC0492" w:rsidP="00AC0492" w:rsidRDefault="00AC0492" w14:paraId="6DD8D95C" w14:textId="77777777">
            <w:pPr>
              <w:rPr>
                <w:rFonts w:ascii="Times New Roman" w:hAnsi="Times New Roman" w:eastAsia="Times New Roman" w:cs="Times New Roman"/>
                <w:color w:val="000000"/>
                <w:kern w:val="0"/>
                <w:sz w:val="20"/>
                <w:szCs w:val="20"/>
                <w14:ligatures w14:val="none"/>
              </w:rPr>
            </w:pPr>
          </w:p>
        </w:tc>
      </w:tr>
      <w:tr w:rsidRPr="006E0274" w:rsidR="00AC0492" w:rsidTr="276AEDD1" w14:paraId="7BA8E30B" w14:textId="77777777">
        <w:trPr>
          <w:trHeight w:val="2117"/>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AC0492" w:rsidP="00AC0492" w:rsidRDefault="009A50C0" w14:paraId="01E717B1" w14:textId="72765E9E">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002</w:t>
            </w:r>
          </w:p>
        </w:tc>
        <w:tc>
          <w:tcPr>
            <w:tcW w:w="3819" w:type="dxa"/>
            <w:tcBorders>
              <w:top w:val="single" w:color="auto" w:sz="4" w:space="0"/>
              <w:left w:val="nil"/>
              <w:bottom w:val="single" w:color="auto" w:sz="4" w:space="0"/>
              <w:right w:val="nil"/>
            </w:tcBorders>
            <w:noWrap/>
            <w:tcMar/>
            <w:vAlign w:val="center"/>
          </w:tcPr>
          <w:p w:rsidRPr="008E1C77" w:rsidR="00AC0492" w:rsidP="00AC0492" w:rsidRDefault="008E1C77" w14:paraId="19849887" w14:textId="63E91682">
            <w:pPr>
              <w:rPr>
                <w:rFonts w:ascii="Times New Roman" w:hAnsi="Times New Roman" w:eastAsia="Times New Roman" w:cs="Times New Roman"/>
                <w:i/>
                <w:iCs/>
                <w:color w:val="000000"/>
                <w:kern w:val="0"/>
                <w:sz w:val="20"/>
                <w:szCs w:val="20"/>
                <w14:ligatures w14:val="none"/>
              </w:rPr>
            </w:pPr>
            <w:r w:rsidRPr="008E1C77">
              <w:rPr>
                <w:rFonts w:ascii="Times New Roman" w:hAnsi="Times New Roman" w:cs="Times New Roman"/>
                <w:i/>
                <w:iCs/>
                <w:sz w:val="20"/>
                <w:szCs w:val="20"/>
              </w:rPr>
              <w:t>Renvoi relatif à la Loi anti-inflation</w:t>
            </w:r>
            <w:r w:rsidRPr="008E1C77">
              <w:rPr>
                <w:rFonts w:ascii="Times New Roman" w:hAnsi="Times New Roman" w:cs="Times New Roman"/>
                <w:sz w:val="20"/>
                <w:szCs w:val="20"/>
              </w:rPr>
              <w:t>, [1976] 2 RCS 373 aux pp 422–427 [</w:t>
            </w:r>
            <w:r w:rsidRPr="008E1C77">
              <w:rPr>
                <w:rFonts w:ascii="Times New Roman" w:hAnsi="Times New Roman" w:cs="Times New Roman"/>
                <w:i/>
                <w:iCs/>
                <w:sz w:val="20"/>
                <w:szCs w:val="20"/>
              </w:rPr>
              <w:t>Renvoi ‒ Loi anti-inflation</w:t>
            </w:r>
            <w:r w:rsidRPr="008E1C77">
              <w:rPr>
                <w:rFonts w:ascii="Times New Roman" w:hAnsi="Times New Roman" w:cs="Times New Roman"/>
                <w:sz w:val="20"/>
                <w:szCs w:val="20"/>
              </w:rPr>
              <w:t xml:space="preserve">], confirmée en partie par </w:t>
            </w:r>
            <w:r w:rsidRPr="008E1C77">
              <w:rPr>
                <w:rFonts w:ascii="Times New Roman" w:hAnsi="Times New Roman" w:cs="Times New Roman"/>
                <w:i/>
                <w:iCs/>
                <w:sz w:val="20"/>
                <w:szCs w:val="20"/>
              </w:rPr>
              <w:t>Renvois relatifs à la Loi sur la tarification de la pollution causée par les gaz à effet de serre</w:t>
            </w:r>
            <w:r w:rsidRPr="008E1C77">
              <w:rPr>
                <w:rFonts w:ascii="Times New Roman" w:hAnsi="Times New Roman" w:cs="Times New Roman"/>
                <w:sz w:val="20"/>
                <w:szCs w:val="20"/>
              </w:rPr>
              <w:t>, 2021 CSC 11, aux para 102 [</w:t>
            </w:r>
            <w:r w:rsidRPr="008E1C77">
              <w:rPr>
                <w:rFonts w:ascii="Times New Roman" w:hAnsi="Times New Roman" w:cs="Times New Roman"/>
                <w:i/>
                <w:iCs/>
                <w:sz w:val="20"/>
                <w:szCs w:val="20"/>
              </w:rPr>
              <w:t>Renvoi ‒ Loi tarifiant la pollution</w:t>
            </w:r>
            <w:r w:rsidRPr="008E1C77">
              <w:rPr>
                <w:rFonts w:ascii="Times New Roman" w:hAnsi="Times New Roman" w:cs="Times New Roman"/>
                <w:sz w:val="20"/>
                <w:szCs w:val="20"/>
              </w:rPr>
              <w:t>]</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AC0492" w:rsidP="00AC0492" w:rsidRDefault="00AC0492" w14:paraId="0EDC2181"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AC0492" w:rsidP="00AC0492" w:rsidRDefault="00AC0492" w14:paraId="2DFE0DA8"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AC0492" w:rsidP="00AC0492" w:rsidRDefault="00AC0492" w14:paraId="065EBDED" w14:textId="77777777">
            <w:pPr>
              <w:rPr>
                <w:rFonts w:ascii="Times New Roman" w:hAnsi="Times New Roman" w:eastAsia="Times New Roman" w:cs="Times New Roman"/>
                <w:color w:val="000000"/>
                <w:kern w:val="0"/>
                <w:sz w:val="20"/>
                <w:szCs w:val="20"/>
                <w14:ligatures w14:val="none"/>
              </w:rPr>
            </w:pPr>
          </w:p>
        </w:tc>
      </w:tr>
      <w:tr w:rsidRPr="006E0274" w:rsidR="00AC0492" w:rsidTr="276AEDD1" w14:paraId="2E26898B" w14:textId="77777777">
        <w:trPr>
          <w:trHeight w:val="689"/>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AC0492" w:rsidP="00AC0492" w:rsidRDefault="009A50C0" w14:paraId="2A750312" w14:textId="536AB8C2">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003</w:t>
            </w:r>
          </w:p>
        </w:tc>
        <w:tc>
          <w:tcPr>
            <w:tcW w:w="3819" w:type="dxa"/>
            <w:tcBorders>
              <w:top w:val="single" w:color="auto" w:sz="4" w:space="0"/>
              <w:left w:val="nil"/>
              <w:bottom w:val="single" w:color="auto" w:sz="4" w:space="0"/>
              <w:right w:val="nil"/>
            </w:tcBorders>
            <w:noWrap/>
            <w:tcMar/>
            <w:vAlign w:val="center"/>
          </w:tcPr>
          <w:p w:rsidRPr="008E1C77" w:rsidR="00AC0492" w:rsidP="00AC0492" w:rsidRDefault="008E1C77" w14:paraId="660383D5" w14:textId="40429826">
            <w:pPr>
              <w:rPr>
                <w:rFonts w:ascii="Times New Roman" w:hAnsi="Times New Roman" w:eastAsia="Times New Roman" w:cs="Times New Roman"/>
                <w:i/>
                <w:iCs/>
                <w:color w:val="000000"/>
                <w:kern w:val="0"/>
                <w:sz w:val="20"/>
                <w:szCs w:val="20"/>
                <w14:ligatures w14:val="none"/>
              </w:rPr>
            </w:pPr>
            <w:r w:rsidRPr="008E1C77">
              <w:rPr>
                <w:rFonts w:ascii="Times New Roman" w:hAnsi="Times New Roman" w:cs="Times New Roman"/>
                <w:sz w:val="20"/>
                <w:szCs w:val="20"/>
              </w:rPr>
              <w:t>L.R.C. 1985, c 22 (4e supp).</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AC0492" w:rsidP="00AC0492" w:rsidRDefault="00AC0492" w14:paraId="2FE5685C"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AC0492" w:rsidP="00AC0492" w:rsidRDefault="00AC0492" w14:paraId="0EE14D11"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AC0492" w:rsidP="00AC0492" w:rsidRDefault="00AC0492" w14:paraId="74564F21"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3ABE467D" w14:textId="77777777">
        <w:trPr>
          <w:trHeight w:val="701"/>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042B5D7E" w14:textId="23F71AF8">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004</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0EAE6718" w14:textId="2758A18C">
            <w:pPr>
              <w:rPr>
                <w:rFonts w:ascii="Times New Roman" w:hAnsi="Times New Roman" w:cs="Times New Roman"/>
                <w:sz w:val="20"/>
                <w:szCs w:val="20"/>
              </w:rPr>
            </w:pPr>
            <w:proofErr w:type="spellStart"/>
            <w:r w:rsidRPr="008E1C77">
              <w:rPr>
                <w:rFonts w:ascii="Times New Roman" w:hAnsi="Times New Roman" w:cs="Times New Roman"/>
                <w:i/>
                <w:sz w:val="20"/>
                <w:szCs w:val="20"/>
              </w:rPr>
              <w:t>Ibid</w:t>
            </w:r>
            <w:proofErr w:type="spellEnd"/>
            <w:r w:rsidRPr="008E1C77">
              <w:rPr>
                <w:rFonts w:ascii="Times New Roman" w:hAnsi="Times New Roman" w:cs="Times New Roman"/>
                <w:i/>
                <w:sz w:val="20"/>
                <w:szCs w:val="20"/>
              </w:rPr>
              <w:t>,</w:t>
            </w:r>
            <w:r w:rsidRPr="008E1C77">
              <w:rPr>
                <w:rFonts w:ascii="Times New Roman" w:hAnsi="Times New Roman" w:cs="Times New Roman"/>
                <w:sz w:val="20"/>
                <w:szCs w:val="20"/>
              </w:rPr>
              <w:t xml:space="preserve"> Préambule, al 1.</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53B5BFA9"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7E869C38"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0D240AC8"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570BA9F1" w14:textId="77777777">
        <w:trPr>
          <w:trHeight w:val="1262"/>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0475086F" w14:textId="1218B8F3">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005</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18D132CA" w14:textId="08F1CF2A">
            <w:pPr>
              <w:rPr>
                <w:rFonts w:ascii="Times New Roman" w:hAnsi="Times New Roman" w:cs="Times New Roman"/>
                <w:sz w:val="20"/>
                <w:szCs w:val="20"/>
              </w:rPr>
            </w:pPr>
            <w:r w:rsidRPr="008E1C77">
              <w:rPr>
                <w:rFonts w:ascii="Times New Roman" w:hAnsi="Times New Roman" w:cs="Times New Roman"/>
                <w:i/>
                <w:iCs/>
                <w:sz w:val="20"/>
                <w:szCs w:val="20"/>
              </w:rPr>
              <w:t>Renvoi ‒ Loi tarifiant la pollution</w:t>
            </w:r>
            <w:r w:rsidRPr="008E1C77">
              <w:rPr>
                <w:rFonts w:ascii="Times New Roman" w:hAnsi="Times New Roman" w:cs="Times New Roman"/>
                <w:sz w:val="20"/>
                <w:szCs w:val="20"/>
              </w:rPr>
              <w:t xml:space="preserve">, </w:t>
            </w:r>
            <w:r w:rsidRPr="008E1C77">
              <w:rPr>
                <w:rFonts w:ascii="Times New Roman" w:hAnsi="Times New Roman" w:cs="Times New Roman"/>
                <w:i/>
                <w:sz w:val="20"/>
                <w:szCs w:val="20"/>
              </w:rPr>
              <w:t>supra</w:t>
            </w:r>
            <w:r w:rsidRPr="008E1C77">
              <w:rPr>
                <w:rFonts w:ascii="Times New Roman" w:hAnsi="Times New Roman" w:cs="Times New Roman"/>
                <w:sz w:val="20"/>
                <w:szCs w:val="20"/>
              </w:rPr>
              <w:t xml:space="preserve"> note 2 aux para 145, citant</w:t>
            </w:r>
            <w:r w:rsidRPr="008E1C77">
              <w:rPr>
                <w:rFonts w:ascii="Times New Roman" w:hAnsi="Times New Roman" w:cs="Times New Roman"/>
                <w:i/>
                <w:iCs/>
                <w:sz w:val="20"/>
                <w:szCs w:val="20"/>
              </w:rPr>
              <w:t xml:space="preserve"> R c Crown </w:t>
            </w:r>
            <w:proofErr w:type="spellStart"/>
            <w:r w:rsidRPr="008E1C77">
              <w:rPr>
                <w:rFonts w:ascii="Times New Roman" w:hAnsi="Times New Roman" w:cs="Times New Roman"/>
                <w:i/>
                <w:iCs/>
                <w:sz w:val="20"/>
                <w:szCs w:val="20"/>
              </w:rPr>
              <w:t>Zellerbach</w:t>
            </w:r>
            <w:proofErr w:type="spellEnd"/>
            <w:r w:rsidRPr="008E1C77">
              <w:rPr>
                <w:rFonts w:ascii="Times New Roman" w:hAnsi="Times New Roman" w:cs="Times New Roman"/>
                <w:i/>
                <w:iCs/>
                <w:sz w:val="20"/>
                <w:szCs w:val="20"/>
              </w:rPr>
              <w:t xml:space="preserve"> Canada Ltd</w:t>
            </w:r>
            <w:r w:rsidRPr="008E1C77">
              <w:rPr>
                <w:rFonts w:ascii="Times New Roman" w:hAnsi="Times New Roman" w:cs="Times New Roman"/>
                <w:sz w:val="20"/>
                <w:szCs w:val="20"/>
              </w:rPr>
              <w:t xml:space="preserve">, [1988] 1 RCS </w:t>
            </w:r>
            <w:r w:rsidR="006E2A1F">
              <w:rPr>
                <w:rFonts w:ascii="Times New Roman" w:hAnsi="Times New Roman" w:cs="Times New Roman"/>
                <w:sz w:val="20"/>
                <w:szCs w:val="20"/>
              </w:rPr>
              <w:t>4</w:t>
            </w:r>
            <w:r w:rsidRPr="008E1C77">
              <w:rPr>
                <w:rFonts w:ascii="Times New Roman" w:hAnsi="Times New Roman" w:cs="Times New Roman"/>
                <w:sz w:val="20"/>
                <w:szCs w:val="20"/>
              </w:rPr>
              <w:t>01, au para 37 [</w:t>
            </w:r>
            <w:r w:rsidRPr="008E1C77">
              <w:rPr>
                <w:rFonts w:ascii="Times New Roman" w:hAnsi="Times New Roman" w:cs="Times New Roman"/>
                <w:i/>
                <w:iCs/>
                <w:sz w:val="20"/>
                <w:szCs w:val="20"/>
              </w:rPr>
              <w:t xml:space="preserve">Crown </w:t>
            </w:r>
            <w:proofErr w:type="spellStart"/>
            <w:r w:rsidRPr="008E1C77">
              <w:rPr>
                <w:rFonts w:ascii="Times New Roman" w:hAnsi="Times New Roman" w:cs="Times New Roman"/>
                <w:i/>
                <w:iCs/>
                <w:sz w:val="20"/>
                <w:szCs w:val="20"/>
              </w:rPr>
              <w:t>Zellerbach</w:t>
            </w:r>
            <w:proofErr w:type="spellEnd"/>
            <w:r w:rsidRPr="008E1C77">
              <w:rPr>
                <w:rFonts w:ascii="Times New Roman" w:hAnsi="Times New Roman" w:cs="Times New Roman"/>
                <w:sz w:val="20"/>
                <w:szCs w:val="20"/>
              </w:rPr>
              <w:t>].</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2C9631A9"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18FBDA0E"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10E90904"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3BBA6AE8" w14:textId="77777777">
        <w:trPr>
          <w:trHeight w:val="1135"/>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3C017C96" w14:textId="03F41E6E">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006</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20154822" w14:textId="7C9A8EE1">
            <w:pPr>
              <w:rPr>
                <w:rFonts w:ascii="Times New Roman" w:hAnsi="Times New Roman" w:cs="Times New Roman"/>
                <w:i/>
                <w:iCs/>
                <w:sz w:val="20"/>
                <w:szCs w:val="20"/>
              </w:rPr>
            </w:pPr>
            <w:r w:rsidRPr="008E1C77">
              <w:rPr>
                <w:rFonts w:ascii="Times New Roman" w:hAnsi="Times New Roman" w:cs="Times New Roman"/>
                <w:i/>
                <w:iCs/>
                <w:sz w:val="20"/>
                <w:szCs w:val="20"/>
              </w:rPr>
              <w:t>Renvoi ‒ Loi tarifiant la pollution</w:t>
            </w:r>
            <w:r w:rsidRPr="008E1C77">
              <w:rPr>
                <w:rFonts w:ascii="Times New Roman" w:hAnsi="Times New Roman" w:cs="Times New Roman"/>
                <w:sz w:val="20"/>
                <w:szCs w:val="20"/>
              </w:rPr>
              <w:t xml:space="preserve">, </w:t>
            </w:r>
            <w:r w:rsidRPr="008E1C77">
              <w:rPr>
                <w:rFonts w:ascii="Times New Roman" w:hAnsi="Times New Roman" w:cs="Times New Roman"/>
                <w:i/>
                <w:sz w:val="20"/>
                <w:szCs w:val="20"/>
              </w:rPr>
              <w:t>supra</w:t>
            </w:r>
            <w:r w:rsidRPr="008E1C77">
              <w:rPr>
                <w:rFonts w:ascii="Times New Roman" w:hAnsi="Times New Roman" w:cs="Times New Roman"/>
                <w:sz w:val="20"/>
                <w:szCs w:val="20"/>
              </w:rPr>
              <w:t xml:space="preserve"> note </w:t>
            </w:r>
            <w:r w:rsidRPr="008E1C77">
              <w:rPr>
                <w:rFonts w:ascii="Times New Roman" w:hAnsi="Times New Roman" w:cs="Times New Roman"/>
                <w:sz w:val="20"/>
                <w:szCs w:val="20"/>
              </w:rPr>
              <w:fldChar w:fldCharType="begin"/>
            </w:r>
            <w:r w:rsidRPr="008E1C77">
              <w:rPr>
                <w:rFonts w:ascii="Times New Roman" w:hAnsi="Times New Roman" w:cs="Times New Roman"/>
                <w:sz w:val="20"/>
                <w:szCs w:val="20"/>
              </w:rPr>
              <w:instrText xml:space="preserve"> NOTEREF _Ref182316898 \h  \* MERGEFORMAT </w:instrText>
            </w:r>
            <w:r w:rsidRPr="008E1C77">
              <w:rPr>
                <w:rFonts w:ascii="Times New Roman" w:hAnsi="Times New Roman" w:cs="Times New Roman"/>
                <w:sz w:val="20"/>
                <w:szCs w:val="20"/>
              </w:rPr>
            </w:r>
            <w:r w:rsidRPr="008E1C77">
              <w:rPr>
                <w:rFonts w:ascii="Times New Roman" w:hAnsi="Times New Roman" w:cs="Times New Roman"/>
                <w:sz w:val="20"/>
                <w:szCs w:val="20"/>
              </w:rPr>
              <w:fldChar w:fldCharType="separate"/>
            </w:r>
            <w:r w:rsidRPr="008E1C77">
              <w:rPr>
                <w:rFonts w:ascii="Times New Roman" w:hAnsi="Times New Roman" w:cs="Times New Roman"/>
                <w:sz w:val="20"/>
                <w:szCs w:val="20"/>
              </w:rPr>
              <w:t>2</w:t>
            </w:r>
            <w:r w:rsidRPr="008E1C77">
              <w:rPr>
                <w:rFonts w:ascii="Times New Roman" w:hAnsi="Times New Roman" w:cs="Times New Roman"/>
                <w:sz w:val="20"/>
                <w:szCs w:val="20"/>
              </w:rPr>
              <w:fldChar w:fldCharType="end"/>
            </w:r>
            <w:r w:rsidRPr="008E1C77">
              <w:rPr>
                <w:rFonts w:ascii="Times New Roman" w:hAnsi="Times New Roman" w:cs="Times New Roman"/>
                <w:sz w:val="20"/>
                <w:szCs w:val="20"/>
              </w:rPr>
              <w:t xml:space="preserve"> au para 160, citant</w:t>
            </w:r>
            <w:r w:rsidRPr="008E1C77">
              <w:rPr>
                <w:rFonts w:ascii="Times New Roman" w:hAnsi="Times New Roman" w:cs="Times New Roman"/>
                <w:i/>
                <w:iCs/>
                <w:sz w:val="20"/>
                <w:szCs w:val="20"/>
              </w:rPr>
              <w:t xml:space="preserve"> Crown </w:t>
            </w:r>
            <w:proofErr w:type="spellStart"/>
            <w:r w:rsidRPr="008E1C77">
              <w:rPr>
                <w:rFonts w:ascii="Times New Roman" w:hAnsi="Times New Roman" w:cs="Times New Roman"/>
                <w:i/>
                <w:iCs/>
                <w:sz w:val="20"/>
                <w:szCs w:val="20"/>
              </w:rPr>
              <w:t>Zellerbach</w:t>
            </w:r>
            <w:proofErr w:type="spellEnd"/>
            <w:r w:rsidRPr="008E1C77">
              <w:rPr>
                <w:rFonts w:ascii="Times New Roman" w:hAnsi="Times New Roman" w:cs="Times New Roman"/>
                <w:sz w:val="20"/>
                <w:szCs w:val="20"/>
              </w:rPr>
              <w:t xml:space="preserve">, </w:t>
            </w:r>
            <w:r w:rsidRPr="008E1C77">
              <w:rPr>
                <w:rFonts w:ascii="Times New Roman" w:hAnsi="Times New Roman" w:cs="Times New Roman"/>
                <w:i/>
                <w:iCs/>
                <w:sz w:val="20"/>
                <w:szCs w:val="20"/>
              </w:rPr>
              <w:t xml:space="preserve">supra </w:t>
            </w:r>
            <w:r w:rsidRPr="008E1C77">
              <w:rPr>
                <w:rFonts w:ascii="Times New Roman" w:hAnsi="Times New Roman" w:cs="Times New Roman"/>
                <w:sz w:val="20"/>
                <w:szCs w:val="20"/>
              </w:rPr>
              <w:t>note 5</w:t>
            </w:r>
            <w:r w:rsidRPr="008E1C77">
              <w:rPr>
                <w:rFonts w:ascii="Times New Roman" w:hAnsi="Times New Roman" w:cs="Times New Roman"/>
                <w:i/>
                <w:iCs/>
                <w:sz w:val="20"/>
                <w:szCs w:val="20"/>
              </w:rPr>
              <w:t xml:space="preserve"> </w:t>
            </w:r>
            <w:r w:rsidRPr="008E1C77">
              <w:rPr>
                <w:rFonts w:ascii="Times New Roman" w:hAnsi="Times New Roman" w:cs="Times New Roman"/>
                <w:sz w:val="20"/>
                <w:szCs w:val="20"/>
              </w:rPr>
              <w:t>au para 37.</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6B7CF852"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344F55EE"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62A053C4"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1C4A8F36" w14:textId="77777777">
        <w:trPr>
          <w:trHeight w:val="1690"/>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1780A362" w14:textId="4C11C856">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007</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3D08A445" w14:textId="229A2290">
            <w:pPr>
              <w:rPr>
                <w:rFonts w:ascii="Times New Roman" w:hAnsi="Times New Roman" w:cs="Times New Roman"/>
                <w:sz w:val="20"/>
                <w:szCs w:val="20"/>
              </w:rPr>
            </w:pPr>
            <w:r w:rsidRPr="008E1C77">
              <w:rPr>
                <w:rFonts w:ascii="Times New Roman" w:hAnsi="Times New Roman" w:cs="Times New Roman"/>
                <w:i/>
                <w:iCs/>
                <w:sz w:val="20"/>
                <w:szCs w:val="20"/>
                <w:lang w:val="en-CA"/>
              </w:rPr>
              <w:t>Johannesson v Municipality of West St Paul</w:t>
            </w:r>
            <w:r w:rsidRPr="008E1C77">
              <w:rPr>
                <w:rFonts w:ascii="Times New Roman" w:hAnsi="Times New Roman" w:cs="Times New Roman"/>
                <w:sz w:val="20"/>
                <w:szCs w:val="20"/>
                <w:lang w:val="en-CA"/>
              </w:rPr>
              <w:t xml:space="preserve">, 1951 CanLII 55 (CSC). </w:t>
            </w:r>
            <w:r w:rsidRPr="008E1C77">
              <w:rPr>
                <w:rFonts w:ascii="Times New Roman" w:hAnsi="Times New Roman" w:cs="Times New Roman"/>
                <w:sz w:val="20"/>
                <w:szCs w:val="20"/>
              </w:rPr>
              <w:t xml:space="preserve">Voir aussi </w:t>
            </w:r>
            <w:r w:rsidRPr="008E1C77">
              <w:rPr>
                <w:rFonts w:ascii="Times New Roman" w:hAnsi="Times New Roman" w:cs="Times New Roman"/>
                <w:i/>
                <w:iCs/>
                <w:sz w:val="20"/>
                <w:szCs w:val="20"/>
              </w:rPr>
              <w:t>Québec (PG) c Lacombe</w:t>
            </w:r>
            <w:r w:rsidRPr="008E1C77">
              <w:rPr>
                <w:rFonts w:ascii="Times New Roman" w:hAnsi="Times New Roman" w:cs="Times New Roman"/>
                <w:sz w:val="20"/>
                <w:szCs w:val="20"/>
              </w:rPr>
              <w:t xml:space="preserve">, 2010 CSC 38; </w:t>
            </w:r>
            <w:r w:rsidRPr="008E1C77">
              <w:rPr>
                <w:rFonts w:ascii="Times New Roman" w:hAnsi="Times New Roman" w:cs="Times New Roman"/>
                <w:i/>
                <w:iCs/>
                <w:sz w:val="20"/>
                <w:szCs w:val="20"/>
              </w:rPr>
              <w:t xml:space="preserve">Québec (Procureur général) c. Canadian </w:t>
            </w:r>
            <w:proofErr w:type="spellStart"/>
            <w:r w:rsidRPr="008E1C77">
              <w:rPr>
                <w:rFonts w:ascii="Times New Roman" w:hAnsi="Times New Roman" w:cs="Times New Roman"/>
                <w:i/>
                <w:iCs/>
                <w:sz w:val="20"/>
                <w:szCs w:val="20"/>
              </w:rPr>
              <w:t>Owners</w:t>
            </w:r>
            <w:proofErr w:type="spellEnd"/>
            <w:r w:rsidRPr="008E1C77">
              <w:rPr>
                <w:rFonts w:ascii="Times New Roman" w:hAnsi="Times New Roman" w:cs="Times New Roman"/>
                <w:i/>
                <w:iCs/>
                <w:sz w:val="20"/>
                <w:szCs w:val="20"/>
              </w:rPr>
              <w:t xml:space="preserve"> and Pilots Association</w:t>
            </w:r>
            <w:r w:rsidRPr="008E1C77">
              <w:rPr>
                <w:rFonts w:ascii="Times New Roman" w:hAnsi="Times New Roman" w:cs="Times New Roman"/>
                <w:sz w:val="20"/>
                <w:szCs w:val="20"/>
              </w:rPr>
              <w:t>, 2090 CSC 39.</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0F92B15A"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09AA8BB6"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6EBE7991"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2C55EE71" w14:textId="77777777">
        <w:trPr>
          <w:trHeight w:val="841"/>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71F2F4C0" w14:textId="46E58EBA">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008</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10A464C9" w14:textId="46A15AB9">
            <w:pPr>
              <w:rPr>
                <w:rFonts w:ascii="Times New Roman" w:hAnsi="Times New Roman" w:cs="Times New Roman"/>
                <w:sz w:val="20"/>
                <w:szCs w:val="20"/>
                <w:lang w:val="en-CA"/>
              </w:rPr>
            </w:pPr>
            <w:r w:rsidRPr="008E1C77">
              <w:rPr>
                <w:rFonts w:ascii="Times New Roman" w:hAnsi="Times New Roman" w:cs="Times New Roman"/>
                <w:i/>
                <w:iCs/>
                <w:sz w:val="20"/>
                <w:szCs w:val="20"/>
              </w:rPr>
              <w:t>Munro c National Capital Commission</w:t>
            </w:r>
            <w:r w:rsidRPr="008E1C77">
              <w:rPr>
                <w:rFonts w:ascii="Times New Roman" w:hAnsi="Times New Roman" w:cs="Times New Roman"/>
                <w:sz w:val="20"/>
                <w:szCs w:val="20"/>
              </w:rPr>
              <w:t>, 1966 CanLII 74 (CSC).</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0DBB303D"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613656FF"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7CB44F5F"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44E70962" w14:textId="77777777">
        <w:trPr>
          <w:trHeight w:val="983"/>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7700EB99" w14:textId="30E5B968">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009</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795B32EE" w14:textId="258CDD4C">
            <w:pPr>
              <w:rPr>
                <w:rFonts w:ascii="Times New Roman" w:hAnsi="Times New Roman" w:cs="Times New Roman"/>
                <w:sz w:val="20"/>
                <w:szCs w:val="20"/>
              </w:rPr>
            </w:pPr>
            <w:r w:rsidRPr="008E1C77">
              <w:rPr>
                <w:rFonts w:ascii="Times New Roman" w:hAnsi="Times New Roman" w:cs="Times New Roman"/>
                <w:i/>
                <w:iCs/>
                <w:sz w:val="20"/>
                <w:szCs w:val="20"/>
              </w:rPr>
              <w:t xml:space="preserve">Ontario Hydro c Ontario </w:t>
            </w:r>
            <w:r w:rsidRPr="008E1C77">
              <w:rPr>
                <w:rFonts w:ascii="Times New Roman" w:hAnsi="Times New Roman" w:cs="Times New Roman"/>
                <w:sz w:val="20"/>
                <w:szCs w:val="20"/>
              </w:rPr>
              <w:t>(</w:t>
            </w:r>
            <w:r w:rsidRPr="008E1C77">
              <w:rPr>
                <w:rFonts w:ascii="Times New Roman" w:hAnsi="Times New Roman" w:cs="Times New Roman"/>
                <w:i/>
                <w:iCs/>
                <w:sz w:val="20"/>
                <w:szCs w:val="20"/>
              </w:rPr>
              <w:t>Commission des relations de travail)</w:t>
            </w:r>
            <w:r w:rsidRPr="008E1C77">
              <w:rPr>
                <w:rFonts w:ascii="Times New Roman" w:hAnsi="Times New Roman" w:cs="Times New Roman"/>
                <w:iCs/>
                <w:sz w:val="20"/>
                <w:szCs w:val="20"/>
              </w:rPr>
              <w:t>,</w:t>
            </w:r>
            <w:r w:rsidRPr="008E1C77">
              <w:rPr>
                <w:rFonts w:ascii="Times New Roman" w:hAnsi="Times New Roman" w:cs="Times New Roman"/>
                <w:sz w:val="20"/>
                <w:szCs w:val="20"/>
              </w:rPr>
              <w:t xml:space="preserve"> 1993 CanLII 72 (CSC)</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3ABDD94F"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2046877D"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4CC88D71"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7F73E8E4" w14:textId="77777777">
        <w:trPr>
          <w:trHeight w:val="983"/>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4DE67E06" w14:textId="7A9550A9">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010</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1E7D8DF7" w14:textId="381DD363">
            <w:pPr>
              <w:rPr>
                <w:rFonts w:ascii="Times New Roman" w:hAnsi="Times New Roman" w:cs="Times New Roman"/>
                <w:sz w:val="20"/>
                <w:szCs w:val="20"/>
              </w:rPr>
            </w:pPr>
            <w:r w:rsidRPr="008E1C77">
              <w:rPr>
                <w:rFonts w:ascii="Times New Roman" w:hAnsi="Times New Roman" w:cs="Times New Roman"/>
                <w:i/>
                <w:iCs/>
                <w:sz w:val="20"/>
                <w:szCs w:val="20"/>
              </w:rPr>
              <w:t>Jones c Procureur général du Nouveau-Brunswick,</w:t>
            </w:r>
            <w:r w:rsidRPr="008E1C77">
              <w:rPr>
                <w:rFonts w:ascii="Times New Roman" w:hAnsi="Times New Roman" w:cs="Times New Roman"/>
                <w:sz w:val="20"/>
                <w:szCs w:val="20"/>
              </w:rPr>
              <w:t xml:space="preserve"> [1975] 2 RCS 182 à la p. 189.</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51BBF1C7"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32375036"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0F0CF732"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64AE6D63" w14:textId="77777777">
        <w:trPr>
          <w:trHeight w:val="2117"/>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05B58187" w14:textId="2058EE5B">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011</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1F36C262" w14:textId="6BD32116">
            <w:pPr>
              <w:rPr>
                <w:rFonts w:ascii="Times New Roman" w:hAnsi="Times New Roman" w:cs="Times New Roman"/>
                <w:sz w:val="20"/>
                <w:szCs w:val="20"/>
              </w:rPr>
            </w:pPr>
            <w:r w:rsidRPr="008E1C77">
              <w:rPr>
                <w:rFonts w:ascii="Times New Roman" w:hAnsi="Times New Roman" w:cs="Times New Roman"/>
                <w:sz w:val="20"/>
                <w:szCs w:val="20"/>
              </w:rPr>
              <w:t xml:space="preserve">Voir notamment </w:t>
            </w:r>
            <w:r w:rsidRPr="008E1C77">
              <w:rPr>
                <w:rFonts w:ascii="Times New Roman" w:hAnsi="Times New Roman" w:cs="Times New Roman"/>
                <w:i/>
                <w:iCs/>
                <w:sz w:val="20"/>
                <w:szCs w:val="20"/>
              </w:rPr>
              <w:t>Renvoi ‒ Loi tarifiant la pollution</w:t>
            </w:r>
            <w:r w:rsidRPr="008E1C77">
              <w:rPr>
                <w:rFonts w:ascii="Times New Roman" w:hAnsi="Times New Roman" w:cs="Times New Roman"/>
                <w:sz w:val="20"/>
                <w:szCs w:val="20"/>
              </w:rPr>
              <w:t xml:space="preserve">, supra note 2 ; </w:t>
            </w:r>
            <w:r w:rsidRPr="008E1C77">
              <w:rPr>
                <w:rFonts w:ascii="Times New Roman" w:hAnsi="Times New Roman" w:cs="Times New Roman"/>
                <w:i/>
                <w:iCs/>
                <w:sz w:val="20"/>
                <w:szCs w:val="20"/>
              </w:rPr>
              <w:t xml:space="preserve">R c Crown </w:t>
            </w:r>
            <w:proofErr w:type="spellStart"/>
            <w:r w:rsidRPr="008E1C77">
              <w:rPr>
                <w:rFonts w:ascii="Times New Roman" w:hAnsi="Times New Roman" w:cs="Times New Roman"/>
                <w:i/>
                <w:iCs/>
                <w:sz w:val="20"/>
                <w:szCs w:val="20"/>
              </w:rPr>
              <w:t>Zellerbach</w:t>
            </w:r>
            <w:proofErr w:type="spellEnd"/>
            <w:r w:rsidRPr="008E1C77">
              <w:rPr>
                <w:rFonts w:ascii="Times New Roman" w:hAnsi="Times New Roman" w:cs="Times New Roman"/>
                <w:i/>
                <w:iCs/>
                <w:sz w:val="20"/>
                <w:szCs w:val="20"/>
              </w:rPr>
              <w:t xml:space="preserve"> Canada Ltd</w:t>
            </w:r>
            <w:r w:rsidRPr="008E1C77">
              <w:rPr>
                <w:rFonts w:ascii="Times New Roman" w:hAnsi="Times New Roman" w:cs="Times New Roman"/>
                <w:sz w:val="20"/>
                <w:szCs w:val="20"/>
              </w:rPr>
              <w:t xml:space="preserve">, [1988] 1 RCS 301 aux para 62-66 ; </w:t>
            </w:r>
            <w:r w:rsidRPr="008E1C77">
              <w:rPr>
                <w:rFonts w:ascii="Times New Roman" w:hAnsi="Times New Roman" w:cs="Times New Roman"/>
                <w:i/>
                <w:iCs/>
                <w:sz w:val="20"/>
                <w:szCs w:val="20"/>
              </w:rPr>
              <w:t xml:space="preserve">Interprovincial </w:t>
            </w:r>
            <w:proofErr w:type="spellStart"/>
            <w:r w:rsidRPr="008E1C77">
              <w:rPr>
                <w:rFonts w:ascii="Times New Roman" w:hAnsi="Times New Roman" w:cs="Times New Roman"/>
                <w:i/>
                <w:iCs/>
                <w:sz w:val="20"/>
                <w:szCs w:val="20"/>
              </w:rPr>
              <w:t>Co</w:t>
            </w:r>
            <w:r w:rsidRPr="008E1C77">
              <w:rPr>
                <w:rFonts w:ascii="Times New Roman" w:hAnsi="Times New Roman" w:cs="Times New Roman"/>
                <w:i/>
                <w:iCs/>
                <w:sz w:val="20"/>
                <w:szCs w:val="20"/>
              </w:rPr>
              <w:noBreakHyphen/>
              <w:t>operatives</w:t>
            </w:r>
            <w:proofErr w:type="spellEnd"/>
            <w:r w:rsidRPr="008E1C77">
              <w:rPr>
                <w:rFonts w:ascii="Times New Roman" w:hAnsi="Times New Roman" w:cs="Times New Roman"/>
                <w:i/>
                <w:iCs/>
                <w:sz w:val="20"/>
                <w:szCs w:val="20"/>
              </w:rPr>
              <w:t xml:space="preserve"> Ltd c. La Reine</w:t>
            </w:r>
            <w:r w:rsidRPr="008E1C77">
              <w:rPr>
                <w:rFonts w:ascii="Times New Roman" w:hAnsi="Times New Roman" w:cs="Times New Roman"/>
                <w:sz w:val="20"/>
                <w:szCs w:val="20"/>
              </w:rPr>
              <w:t xml:space="preserve">, 1975 CanLII 212 (CSC) ; </w:t>
            </w:r>
            <w:r w:rsidRPr="008E1C77">
              <w:rPr>
                <w:rFonts w:ascii="Times New Roman" w:hAnsi="Times New Roman" w:cs="Times New Roman"/>
                <w:i/>
                <w:iCs/>
                <w:sz w:val="20"/>
                <w:szCs w:val="20"/>
              </w:rPr>
              <w:t xml:space="preserve">Reference Re: Offshore </w:t>
            </w:r>
            <w:proofErr w:type="spellStart"/>
            <w:r w:rsidRPr="008E1C77">
              <w:rPr>
                <w:rFonts w:ascii="Times New Roman" w:hAnsi="Times New Roman" w:cs="Times New Roman"/>
                <w:i/>
                <w:iCs/>
                <w:sz w:val="20"/>
                <w:szCs w:val="20"/>
              </w:rPr>
              <w:t>Mineral</w:t>
            </w:r>
            <w:proofErr w:type="spellEnd"/>
            <w:r w:rsidRPr="008E1C77">
              <w:rPr>
                <w:rFonts w:ascii="Times New Roman" w:hAnsi="Times New Roman" w:cs="Times New Roman"/>
                <w:i/>
                <w:iCs/>
                <w:sz w:val="20"/>
                <w:szCs w:val="20"/>
              </w:rPr>
              <w:t xml:space="preserve"> </w:t>
            </w:r>
            <w:proofErr w:type="spellStart"/>
            <w:r w:rsidRPr="008E1C77">
              <w:rPr>
                <w:rFonts w:ascii="Times New Roman" w:hAnsi="Times New Roman" w:cs="Times New Roman"/>
                <w:i/>
                <w:iCs/>
                <w:sz w:val="20"/>
                <w:szCs w:val="20"/>
              </w:rPr>
              <w:t>Rights</w:t>
            </w:r>
            <w:proofErr w:type="spellEnd"/>
            <w:r w:rsidRPr="008E1C77">
              <w:rPr>
                <w:rFonts w:ascii="Times New Roman" w:hAnsi="Times New Roman" w:cs="Times New Roman"/>
                <w:sz w:val="20"/>
                <w:szCs w:val="20"/>
              </w:rPr>
              <w:t>, 1967 CanLII 71 (CSC)</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12CBDA45"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31814ECA"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48B862AD"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308EB5C3" w14:textId="77777777">
        <w:trPr>
          <w:trHeight w:val="983"/>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48E62967" w14:textId="4EADF1FA">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012</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6330FC" w14:paraId="40CF3EBE" w14:textId="171A8E8F">
            <w:pPr>
              <w:rPr>
                <w:rFonts w:ascii="Times New Roman" w:hAnsi="Times New Roman" w:cs="Times New Roman"/>
                <w:sz w:val="20"/>
                <w:szCs w:val="20"/>
              </w:rPr>
            </w:pPr>
            <w:r w:rsidRPr="006330FC">
              <w:rPr>
                <w:rFonts w:ascii="Times New Roman" w:hAnsi="Times New Roman" w:cs="Times New Roman"/>
                <w:i/>
                <w:iCs/>
                <w:sz w:val="20"/>
                <w:szCs w:val="20"/>
              </w:rPr>
              <w:t>Motard c Canada (PG)</w:t>
            </w:r>
            <w:r w:rsidRPr="006330FC">
              <w:rPr>
                <w:rFonts w:ascii="Times New Roman" w:hAnsi="Times New Roman" w:cs="Times New Roman"/>
                <w:sz w:val="20"/>
                <w:szCs w:val="20"/>
              </w:rPr>
              <w:t>, 2016 QCCS 588, aux para 141–143, conf par 2019 QCCA 1826.</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69A6CF32"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3F6798A4"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04579F80"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7161295E" w14:textId="77777777">
        <w:trPr>
          <w:trHeight w:val="983"/>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2332605F" w14:textId="791390E6">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013</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5EA7E3B1" w14:textId="601B0C13">
            <w:pPr>
              <w:rPr>
                <w:rFonts w:ascii="Times New Roman" w:hAnsi="Times New Roman" w:cs="Times New Roman"/>
                <w:sz w:val="20"/>
                <w:szCs w:val="20"/>
              </w:rPr>
            </w:pPr>
            <w:r w:rsidRPr="008E1C77">
              <w:rPr>
                <w:rFonts w:ascii="Times New Roman" w:hAnsi="Times New Roman" w:cs="Times New Roman"/>
                <w:i/>
                <w:iCs/>
                <w:sz w:val="20"/>
                <w:szCs w:val="20"/>
              </w:rPr>
              <w:t>Renvoi ‒ Loi tarifiant la pollution</w:t>
            </w:r>
            <w:r w:rsidRPr="008E1C77">
              <w:rPr>
                <w:rFonts w:ascii="Times New Roman" w:hAnsi="Times New Roman" w:cs="Times New Roman"/>
                <w:sz w:val="20"/>
                <w:szCs w:val="20"/>
              </w:rPr>
              <w:t xml:space="preserve">, </w:t>
            </w:r>
            <w:r w:rsidRPr="008E1C77">
              <w:rPr>
                <w:rFonts w:ascii="Times New Roman" w:hAnsi="Times New Roman" w:cs="Times New Roman"/>
                <w:i/>
                <w:sz w:val="20"/>
                <w:szCs w:val="20"/>
              </w:rPr>
              <w:t>supra</w:t>
            </w:r>
            <w:r w:rsidRPr="008E1C77">
              <w:rPr>
                <w:rFonts w:ascii="Times New Roman" w:hAnsi="Times New Roman" w:cs="Times New Roman"/>
                <w:sz w:val="20"/>
                <w:szCs w:val="20"/>
              </w:rPr>
              <w:t xml:space="preserve"> note 3 au para 120, 122 et 124.</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69D6EC91"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753E6CC3"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76DF58DE"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3A18661B" w14:textId="77777777">
        <w:trPr>
          <w:trHeight w:val="2404"/>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0FF02E49" w14:textId="29F93190">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014</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0C2C702D" w14:textId="0712F87C">
            <w:pPr>
              <w:rPr>
                <w:rFonts w:ascii="Times New Roman" w:hAnsi="Times New Roman" w:cs="Times New Roman"/>
                <w:sz w:val="20"/>
                <w:szCs w:val="20"/>
              </w:rPr>
            </w:pPr>
            <w:r w:rsidRPr="008E1C77">
              <w:rPr>
                <w:rFonts w:ascii="Times New Roman" w:hAnsi="Times New Roman" w:cs="Times New Roman"/>
                <w:i/>
                <w:iCs/>
                <w:sz w:val="20"/>
                <w:szCs w:val="20"/>
                <w:lang w:val="en-CA"/>
              </w:rPr>
              <w:t>Ibid</w:t>
            </w:r>
            <w:r w:rsidRPr="008E1C77">
              <w:rPr>
                <w:rFonts w:ascii="Times New Roman" w:hAnsi="Times New Roman" w:cs="Times New Roman"/>
                <w:sz w:val="20"/>
                <w:szCs w:val="20"/>
                <w:lang w:val="en-CA"/>
              </w:rPr>
              <w:t xml:space="preserve">. au para 126. Au </w:t>
            </w:r>
            <w:proofErr w:type="spellStart"/>
            <w:r w:rsidRPr="008E1C77">
              <w:rPr>
                <w:rFonts w:ascii="Times New Roman" w:hAnsi="Times New Roman" w:cs="Times New Roman"/>
                <w:sz w:val="20"/>
                <w:szCs w:val="20"/>
                <w:lang w:val="en-CA"/>
              </w:rPr>
              <w:t>sujet</w:t>
            </w:r>
            <w:proofErr w:type="spellEnd"/>
            <w:r w:rsidRPr="008E1C77">
              <w:rPr>
                <w:rFonts w:ascii="Times New Roman" w:hAnsi="Times New Roman" w:cs="Times New Roman"/>
                <w:sz w:val="20"/>
                <w:szCs w:val="20"/>
                <w:lang w:val="en-CA"/>
              </w:rPr>
              <w:t xml:space="preserve"> du </w:t>
            </w:r>
            <w:proofErr w:type="spellStart"/>
            <w:r w:rsidRPr="008E1C77">
              <w:rPr>
                <w:rFonts w:ascii="Times New Roman" w:hAnsi="Times New Roman" w:cs="Times New Roman"/>
                <w:sz w:val="20"/>
                <w:szCs w:val="20"/>
                <w:lang w:val="en-CA"/>
              </w:rPr>
              <w:t>fédéralisme</w:t>
            </w:r>
            <w:proofErr w:type="spellEnd"/>
            <w:r w:rsidRPr="008E1C77">
              <w:rPr>
                <w:rFonts w:ascii="Times New Roman" w:hAnsi="Times New Roman" w:cs="Times New Roman"/>
                <w:sz w:val="20"/>
                <w:szCs w:val="20"/>
                <w:lang w:val="en-CA"/>
              </w:rPr>
              <w:t xml:space="preserve"> </w:t>
            </w:r>
            <w:proofErr w:type="spellStart"/>
            <w:r w:rsidRPr="008E1C77">
              <w:rPr>
                <w:rFonts w:ascii="Times New Roman" w:hAnsi="Times New Roman" w:cs="Times New Roman"/>
                <w:sz w:val="20"/>
                <w:szCs w:val="20"/>
                <w:lang w:val="en-CA"/>
              </w:rPr>
              <w:t>coopératif</w:t>
            </w:r>
            <w:proofErr w:type="spellEnd"/>
            <w:r w:rsidRPr="008E1C77">
              <w:rPr>
                <w:rFonts w:ascii="Times New Roman" w:hAnsi="Times New Roman" w:cs="Times New Roman"/>
                <w:sz w:val="20"/>
                <w:szCs w:val="20"/>
                <w:lang w:val="en-CA"/>
              </w:rPr>
              <w:t xml:space="preserve">, </w:t>
            </w:r>
            <w:proofErr w:type="spellStart"/>
            <w:r w:rsidRPr="008E1C77">
              <w:rPr>
                <w:rFonts w:ascii="Times New Roman" w:hAnsi="Times New Roman" w:cs="Times New Roman"/>
                <w:sz w:val="20"/>
                <w:szCs w:val="20"/>
                <w:lang w:val="en-CA"/>
              </w:rPr>
              <w:t>voir</w:t>
            </w:r>
            <w:proofErr w:type="spellEnd"/>
            <w:r w:rsidRPr="008E1C77">
              <w:rPr>
                <w:rFonts w:ascii="Times New Roman" w:hAnsi="Times New Roman" w:cs="Times New Roman"/>
                <w:sz w:val="20"/>
                <w:szCs w:val="20"/>
                <w:lang w:val="en-CA"/>
              </w:rPr>
              <w:t xml:space="preserve"> </w:t>
            </w:r>
            <w:proofErr w:type="spellStart"/>
            <w:r w:rsidRPr="008E1C77">
              <w:rPr>
                <w:rFonts w:ascii="Times New Roman" w:hAnsi="Times New Roman" w:cs="Times New Roman"/>
                <w:sz w:val="20"/>
                <w:szCs w:val="20"/>
                <w:lang w:val="en-CA"/>
              </w:rPr>
              <w:t>notamment</w:t>
            </w:r>
            <w:proofErr w:type="spellEnd"/>
            <w:r w:rsidRPr="008E1C77">
              <w:rPr>
                <w:rFonts w:ascii="Times New Roman" w:hAnsi="Times New Roman" w:cs="Times New Roman"/>
                <w:sz w:val="20"/>
                <w:szCs w:val="20"/>
                <w:lang w:val="en-CA"/>
              </w:rPr>
              <w:t xml:space="preserve"> Mark S Harding &amp; Dave Snow, « From the Ivory Tower to the Courtroom: Cooperative Federalism in the Supreme Court of Canada » (2023) 53:1 Publius J. Fed </w:t>
            </w:r>
            <w:proofErr w:type="gramStart"/>
            <w:r w:rsidRPr="008E1C77">
              <w:rPr>
                <w:rFonts w:ascii="Times New Roman" w:hAnsi="Times New Roman" w:cs="Times New Roman"/>
                <w:sz w:val="20"/>
                <w:szCs w:val="20"/>
                <w:lang w:val="en-CA"/>
              </w:rPr>
              <w:t>106 ;</w:t>
            </w:r>
            <w:proofErr w:type="gramEnd"/>
            <w:r w:rsidRPr="008E1C77">
              <w:rPr>
                <w:rFonts w:ascii="Times New Roman" w:hAnsi="Times New Roman" w:cs="Times New Roman"/>
                <w:sz w:val="20"/>
                <w:szCs w:val="20"/>
                <w:lang w:val="en-CA"/>
              </w:rPr>
              <w:t xml:space="preserve"> Jean-François Gaudreault-</w:t>
            </w:r>
            <w:proofErr w:type="spellStart"/>
            <w:r w:rsidRPr="008E1C77">
              <w:rPr>
                <w:rFonts w:ascii="Times New Roman" w:hAnsi="Times New Roman" w:cs="Times New Roman"/>
                <w:sz w:val="20"/>
                <w:szCs w:val="20"/>
                <w:lang w:val="en-CA"/>
              </w:rPr>
              <w:t>DesBiens</w:t>
            </w:r>
            <w:proofErr w:type="spellEnd"/>
            <w:r w:rsidRPr="008E1C77">
              <w:rPr>
                <w:rFonts w:ascii="Times New Roman" w:hAnsi="Times New Roman" w:cs="Times New Roman"/>
                <w:sz w:val="20"/>
                <w:szCs w:val="20"/>
                <w:lang w:val="en-CA"/>
              </w:rPr>
              <w:t xml:space="preserve"> et Johanne Poirier, « From Dualism to Cooperative Federalism and </w:t>
            </w:r>
            <w:proofErr w:type="gramStart"/>
            <w:r w:rsidRPr="008E1C77">
              <w:rPr>
                <w:rFonts w:ascii="Times New Roman" w:hAnsi="Times New Roman" w:cs="Times New Roman"/>
                <w:sz w:val="20"/>
                <w:szCs w:val="20"/>
                <w:lang w:val="en-CA"/>
              </w:rPr>
              <w:t>Back ?</w:t>
            </w:r>
            <w:proofErr w:type="gramEnd"/>
            <w:r w:rsidRPr="008E1C77">
              <w:rPr>
                <w:rFonts w:ascii="Times New Roman" w:hAnsi="Times New Roman" w:cs="Times New Roman"/>
                <w:sz w:val="20"/>
                <w:szCs w:val="20"/>
                <w:lang w:val="en-CA"/>
              </w:rPr>
              <w:t xml:space="preserve"> Evolving and Competing Conceptions of Canadian Federalism », dans Peter Oliver, Patrick Macklen et Nathalie Des </w:t>
            </w:r>
            <w:proofErr w:type="spellStart"/>
            <w:r w:rsidRPr="008E1C77">
              <w:rPr>
                <w:rFonts w:ascii="Times New Roman" w:hAnsi="Times New Roman" w:cs="Times New Roman"/>
                <w:sz w:val="20"/>
                <w:szCs w:val="20"/>
                <w:lang w:val="en-CA"/>
              </w:rPr>
              <w:t>Rosiers</w:t>
            </w:r>
            <w:proofErr w:type="spellEnd"/>
            <w:r w:rsidRPr="008E1C77">
              <w:rPr>
                <w:rFonts w:ascii="Times New Roman" w:hAnsi="Times New Roman" w:cs="Times New Roman"/>
                <w:sz w:val="20"/>
                <w:szCs w:val="20"/>
                <w:lang w:val="en-CA"/>
              </w:rPr>
              <w:t xml:space="preserve">, eds, </w:t>
            </w:r>
            <w:r w:rsidRPr="008E1C77">
              <w:rPr>
                <w:rFonts w:ascii="Times New Roman" w:hAnsi="Times New Roman" w:cs="Times New Roman"/>
                <w:i/>
                <w:iCs/>
                <w:sz w:val="20"/>
                <w:szCs w:val="20"/>
                <w:lang w:val="en-CA"/>
              </w:rPr>
              <w:t>The Oxford Handbook of the Canadian Constitution</w:t>
            </w:r>
            <w:r w:rsidRPr="008E1C77">
              <w:rPr>
                <w:rFonts w:ascii="Times New Roman" w:hAnsi="Times New Roman" w:cs="Times New Roman"/>
                <w:sz w:val="20"/>
                <w:szCs w:val="20"/>
                <w:lang w:val="en-CA"/>
              </w:rPr>
              <w:t xml:space="preserve">, Oxford (R-U), Oxford University Press, 2017, 391. </w:t>
            </w:r>
            <w:r w:rsidRPr="008E1C77">
              <w:rPr>
                <w:rFonts w:ascii="Times New Roman" w:hAnsi="Times New Roman" w:cs="Times New Roman"/>
                <w:sz w:val="20"/>
                <w:szCs w:val="20"/>
              </w:rPr>
              <w:t xml:space="preserve">Voir aussi Henri Brun, Guy Tremblay, et Eugénie Brouillet, </w:t>
            </w:r>
            <w:r w:rsidRPr="008E1C77">
              <w:rPr>
                <w:rFonts w:ascii="Times New Roman" w:hAnsi="Times New Roman" w:cs="Times New Roman"/>
                <w:i/>
                <w:iCs/>
                <w:sz w:val="20"/>
                <w:szCs w:val="20"/>
              </w:rPr>
              <w:t>Droit constitutionnel</w:t>
            </w:r>
            <w:r w:rsidRPr="008E1C77">
              <w:rPr>
                <w:rFonts w:ascii="Times New Roman" w:hAnsi="Times New Roman" w:cs="Times New Roman"/>
                <w:sz w:val="20"/>
                <w:szCs w:val="20"/>
              </w:rPr>
              <w:t>, 6e éd, Cowansville (Québec), Yvon Blais, 2014.</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1FD83708"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44C3E8BA"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2AC3F19A" w14:textId="77777777">
            <w:pPr>
              <w:rPr>
                <w:rFonts w:ascii="Times New Roman" w:hAnsi="Times New Roman" w:eastAsia="Times New Roman" w:cs="Times New Roman"/>
                <w:color w:val="000000"/>
                <w:kern w:val="0"/>
                <w:sz w:val="20"/>
                <w:szCs w:val="20"/>
                <w14:ligatures w14:val="none"/>
              </w:rPr>
            </w:pPr>
          </w:p>
        </w:tc>
      </w:tr>
      <w:tr w:rsidRPr="006E0274" w:rsidR="009A50C0" w:rsidTr="276AEDD1" w14:paraId="53531DB6" w14:textId="77777777">
        <w:trPr>
          <w:trHeight w:val="2259"/>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9A50C0" w:rsidP="00AC0492" w:rsidRDefault="009A50C0" w14:paraId="039D0325" w14:textId="74C5AEAF">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015</w:t>
            </w:r>
          </w:p>
        </w:tc>
        <w:tc>
          <w:tcPr>
            <w:tcW w:w="3819" w:type="dxa"/>
            <w:tcBorders>
              <w:top w:val="single" w:color="auto" w:sz="4" w:space="0"/>
              <w:left w:val="nil"/>
              <w:bottom w:val="single" w:color="auto" w:sz="4" w:space="0"/>
              <w:right w:val="nil"/>
            </w:tcBorders>
            <w:noWrap/>
            <w:tcMar/>
            <w:vAlign w:val="center"/>
          </w:tcPr>
          <w:p w:rsidRPr="008E1C77" w:rsidR="009A50C0" w:rsidP="00AC0492" w:rsidRDefault="008E1C77" w14:paraId="398E638E" w14:textId="1D0CCEEA">
            <w:pPr>
              <w:rPr>
                <w:rFonts w:ascii="Times New Roman" w:hAnsi="Times New Roman" w:cs="Times New Roman"/>
                <w:sz w:val="20"/>
                <w:szCs w:val="20"/>
              </w:rPr>
            </w:pPr>
            <w:r w:rsidRPr="008E1C77">
              <w:rPr>
                <w:rFonts w:ascii="Times New Roman" w:hAnsi="Times New Roman" w:cs="Times New Roman"/>
                <w:sz w:val="20"/>
                <w:szCs w:val="20"/>
              </w:rPr>
              <w:t xml:space="preserve">Voir </w:t>
            </w:r>
            <w:r w:rsidRPr="008E1C77">
              <w:rPr>
                <w:rFonts w:ascii="Times New Roman" w:hAnsi="Times New Roman" w:cs="Times New Roman"/>
                <w:i/>
                <w:iCs/>
                <w:sz w:val="20"/>
                <w:szCs w:val="20"/>
              </w:rPr>
              <w:t>Canada (AG) v Ontario (AG</w:t>
            </w:r>
            <w:r w:rsidRPr="008E1C77">
              <w:rPr>
                <w:rFonts w:ascii="Times New Roman" w:hAnsi="Times New Roman" w:cs="Times New Roman"/>
                <w:sz w:val="20"/>
                <w:szCs w:val="20"/>
              </w:rPr>
              <w:t>)</w:t>
            </w:r>
            <w:r w:rsidRPr="008E1C77">
              <w:rPr>
                <w:rFonts w:ascii="Times New Roman" w:hAnsi="Times New Roman" w:cs="Times New Roman"/>
                <w:i/>
                <w:sz w:val="20"/>
                <w:szCs w:val="20"/>
              </w:rPr>
              <w:t>,</w:t>
            </w:r>
            <w:r w:rsidRPr="008E1C77">
              <w:rPr>
                <w:rFonts w:ascii="Times New Roman" w:hAnsi="Times New Roman" w:cs="Times New Roman"/>
                <w:sz w:val="20"/>
                <w:szCs w:val="20"/>
              </w:rPr>
              <w:t xml:space="preserve"> [1937] UKPC 6 (« Bien que le navire </w:t>
            </w:r>
            <w:proofErr w:type="gramStart"/>
            <w:r w:rsidRPr="008E1C77">
              <w:rPr>
                <w:rFonts w:ascii="Times New Roman" w:hAnsi="Times New Roman" w:cs="Times New Roman"/>
                <w:sz w:val="20"/>
                <w:szCs w:val="20"/>
              </w:rPr>
              <w:t>qu’est</w:t>
            </w:r>
            <w:proofErr w:type="gramEnd"/>
            <w:r w:rsidRPr="008E1C77">
              <w:rPr>
                <w:rFonts w:ascii="Times New Roman" w:hAnsi="Times New Roman" w:cs="Times New Roman"/>
                <w:sz w:val="20"/>
                <w:szCs w:val="20"/>
              </w:rPr>
              <w:t xml:space="preserve"> l’État navigue aujourd’hui vers de plus grandes aventures et vers des eaux étrangères, il conserve les </w:t>
            </w:r>
            <w:r w:rsidRPr="008E1C77">
              <w:rPr>
                <w:rFonts w:ascii="Times New Roman" w:hAnsi="Times New Roman" w:cs="Times New Roman"/>
                <w:i/>
                <w:iCs/>
                <w:sz w:val="20"/>
                <w:szCs w:val="20"/>
              </w:rPr>
              <w:t>compartiments étanches</w:t>
            </w:r>
            <w:r w:rsidRPr="008E1C77">
              <w:rPr>
                <w:rFonts w:ascii="Times New Roman" w:hAnsi="Times New Roman" w:cs="Times New Roman"/>
                <w:sz w:val="20"/>
                <w:szCs w:val="20"/>
              </w:rPr>
              <w:t xml:space="preserve"> qui constituent une partie essentielle de sa structure d’origine » [notre traduction; nos italiques] à la p 10, Lord </w:t>
            </w:r>
            <w:proofErr w:type="spellStart"/>
            <w:r w:rsidRPr="008E1C77">
              <w:rPr>
                <w:rFonts w:ascii="Times New Roman" w:hAnsi="Times New Roman" w:cs="Times New Roman"/>
                <w:sz w:val="20"/>
                <w:szCs w:val="20"/>
              </w:rPr>
              <w:t>Atkin</w:t>
            </w:r>
            <w:proofErr w:type="spellEnd"/>
            <w:r w:rsidRPr="008E1C77">
              <w:rPr>
                <w:rFonts w:ascii="Times New Roman" w:hAnsi="Times New Roman" w:cs="Times New Roman"/>
                <w:sz w:val="20"/>
                <w:szCs w:val="20"/>
              </w:rPr>
              <w:t>.</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268E1282"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9A50C0" w:rsidP="00AC0492" w:rsidRDefault="009A50C0" w14:paraId="3368C97D"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9A50C0" w:rsidP="00AC0492" w:rsidRDefault="009A50C0" w14:paraId="56068618" w14:textId="77777777">
            <w:pPr>
              <w:rPr>
                <w:rFonts w:ascii="Times New Roman" w:hAnsi="Times New Roman" w:eastAsia="Times New Roman" w:cs="Times New Roman"/>
                <w:color w:val="000000"/>
                <w:kern w:val="0"/>
                <w:sz w:val="20"/>
                <w:szCs w:val="20"/>
                <w14:ligatures w14:val="none"/>
              </w:rPr>
            </w:pPr>
          </w:p>
        </w:tc>
      </w:tr>
      <w:tr w:rsidRPr="006E0274" w:rsidR="006E0274" w:rsidTr="276AEDD1" w14:paraId="6B7C2E78" w14:textId="77777777">
        <w:trPr>
          <w:trHeight w:val="2404"/>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6E0274" w:rsidP="00AC0492" w:rsidRDefault="006E0274" w14:paraId="66699AB4" w14:textId="2B079015">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016</w:t>
            </w:r>
          </w:p>
        </w:tc>
        <w:tc>
          <w:tcPr>
            <w:tcW w:w="3819" w:type="dxa"/>
            <w:tcBorders>
              <w:top w:val="single" w:color="auto" w:sz="4" w:space="0"/>
              <w:left w:val="nil"/>
              <w:bottom w:val="single" w:color="auto" w:sz="4" w:space="0"/>
              <w:right w:val="nil"/>
            </w:tcBorders>
            <w:noWrap/>
            <w:tcMar/>
            <w:vAlign w:val="center"/>
          </w:tcPr>
          <w:p w:rsidRPr="008E1C77" w:rsidR="006E0274" w:rsidP="00AC0492" w:rsidRDefault="008E1C77" w14:paraId="7C60D6D6" w14:textId="07576692">
            <w:pPr>
              <w:rPr>
                <w:rFonts w:ascii="Times New Roman" w:hAnsi="Times New Roman" w:cs="Times New Roman"/>
                <w:sz w:val="20"/>
                <w:szCs w:val="20"/>
              </w:rPr>
            </w:pPr>
            <w:r w:rsidRPr="008E1C77">
              <w:rPr>
                <w:rFonts w:ascii="Times New Roman" w:hAnsi="Times New Roman" w:cs="Times New Roman"/>
                <w:sz w:val="20"/>
                <w:szCs w:val="20"/>
              </w:rPr>
              <w:t xml:space="preserve">À l’époque où le comité judiciaire du conseil privé à Londres était le tribunal de dernier ressort du pays, les lois provinciales étaient considérées comme invalides si elles visaient « uniquement les fins précisées à l’article 92 [de la </w:t>
            </w:r>
            <w:r w:rsidRPr="008E1C77">
              <w:rPr>
                <w:rFonts w:ascii="Times New Roman" w:hAnsi="Times New Roman" w:cs="Times New Roman"/>
                <w:i/>
                <w:iCs/>
                <w:sz w:val="20"/>
                <w:szCs w:val="20"/>
              </w:rPr>
              <w:t>Loi constitutionnelle de 1867</w:t>
            </w:r>
            <w:r w:rsidRPr="008E1C77">
              <w:rPr>
                <w:rFonts w:ascii="Times New Roman" w:hAnsi="Times New Roman" w:cs="Times New Roman"/>
                <w:sz w:val="20"/>
                <w:szCs w:val="20"/>
              </w:rPr>
              <w:t xml:space="preserve"> </w:t>
            </w:r>
            <w:r w:rsidRPr="008E1C77">
              <w:rPr>
                <w:rFonts w:ascii="Times New Roman" w:hAnsi="Times New Roman" w:cs="Times New Roman"/>
                <w:i/>
                <w:iCs/>
                <w:sz w:val="20"/>
                <w:szCs w:val="20"/>
              </w:rPr>
              <w:t>supra</w:t>
            </w:r>
            <w:r w:rsidRPr="008E1C77">
              <w:rPr>
                <w:rFonts w:ascii="Times New Roman" w:hAnsi="Times New Roman" w:cs="Times New Roman"/>
                <w:sz w:val="20"/>
                <w:szCs w:val="20"/>
              </w:rPr>
              <w:t xml:space="preserve"> note 1] » (</w:t>
            </w:r>
            <w:r w:rsidRPr="008E1C77">
              <w:rPr>
                <w:rFonts w:ascii="Times New Roman" w:hAnsi="Times New Roman" w:cs="Times New Roman"/>
                <w:i/>
                <w:iCs/>
                <w:sz w:val="20"/>
                <w:szCs w:val="20"/>
              </w:rPr>
              <w:t xml:space="preserve">Great West </w:t>
            </w:r>
            <w:proofErr w:type="spellStart"/>
            <w:r w:rsidRPr="008E1C77">
              <w:rPr>
                <w:rFonts w:ascii="Times New Roman" w:hAnsi="Times New Roman" w:cs="Times New Roman"/>
                <w:i/>
                <w:iCs/>
                <w:sz w:val="20"/>
                <w:szCs w:val="20"/>
              </w:rPr>
              <w:t>Saddlery</w:t>
            </w:r>
            <w:proofErr w:type="spellEnd"/>
            <w:r w:rsidRPr="008E1C77">
              <w:rPr>
                <w:rFonts w:ascii="Times New Roman" w:hAnsi="Times New Roman" w:cs="Times New Roman"/>
                <w:i/>
                <w:iCs/>
                <w:sz w:val="20"/>
                <w:szCs w:val="20"/>
              </w:rPr>
              <w:t xml:space="preserve"> Co </w:t>
            </w:r>
            <w:r w:rsidRPr="008E1C77">
              <w:rPr>
                <w:rFonts w:ascii="Times New Roman" w:hAnsi="Times New Roman" w:cs="Times New Roman"/>
                <w:sz w:val="20"/>
                <w:szCs w:val="20"/>
              </w:rPr>
              <w:t>v.</w:t>
            </w:r>
            <w:r w:rsidRPr="008E1C77">
              <w:rPr>
                <w:rFonts w:ascii="Times New Roman" w:hAnsi="Times New Roman" w:cs="Times New Roman"/>
                <w:i/>
                <w:iCs/>
                <w:sz w:val="20"/>
                <w:szCs w:val="20"/>
              </w:rPr>
              <w:t xml:space="preserve"> R</w:t>
            </w:r>
            <w:r w:rsidRPr="008E1C77">
              <w:rPr>
                <w:rFonts w:ascii="Times New Roman" w:hAnsi="Times New Roman" w:cs="Times New Roman"/>
                <w:sz w:val="20"/>
                <w:szCs w:val="20"/>
              </w:rPr>
              <w:t>, [1921] 58 D.L.R. 1 à la p 26, 2 AC 91 (JCPC)).</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2A1EBBB7"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6E0274" w:rsidP="00AC0492" w:rsidRDefault="006E0274" w14:paraId="78142B93"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38D8AD46" w14:textId="77777777">
            <w:pPr>
              <w:rPr>
                <w:rFonts w:ascii="Times New Roman" w:hAnsi="Times New Roman" w:eastAsia="Times New Roman" w:cs="Times New Roman"/>
                <w:color w:val="000000"/>
                <w:kern w:val="0"/>
                <w:sz w:val="20"/>
                <w:szCs w:val="20"/>
                <w14:ligatures w14:val="none"/>
              </w:rPr>
            </w:pPr>
          </w:p>
        </w:tc>
      </w:tr>
      <w:tr w:rsidRPr="006E0274" w:rsidR="006E0274" w:rsidTr="276AEDD1" w14:paraId="5F2C07F8" w14:textId="77777777">
        <w:trPr>
          <w:trHeight w:val="976"/>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6E0274" w:rsidP="00AC0492" w:rsidRDefault="006E0274" w14:paraId="7D1597DF" w14:textId="4541C9C8">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017</w:t>
            </w:r>
          </w:p>
        </w:tc>
        <w:tc>
          <w:tcPr>
            <w:tcW w:w="3819" w:type="dxa"/>
            <w:tcBorders>
              <w:top w:val="single" w:color="auto" w:sz="4" w:space="0"/>
              <w:left w:val="nil"/>
              <w:bottom w:val="single" w:color="auto" w:sz="4" w:space="0"/>
              <w:right w:val="nil"/>
            </w:tcBorders>
            <w:noWrap/>
            <w:tcMar/>
            <w:vAlign w:val="center"/>
          </w:tcPr>
          <w:p w:rsidRPr="008E1C77" w:rsidR="006E0274" w:rsidP="00AC0492" w:rsidRDefault="008E1C77" w14:paraId="40704A56" w14:textId="31CBBF1C">
            <w:pPr>
              <w:rPr>
                <w:rFonts w:ascii="Times New Roman" w:hAnsi="Times New Roman" w:cs="Times New Roman"/>
                <w:sz w:val="20"/>
                <w:szCs w:val="20"/>
              </w:rPr>
            </w:pPr>
            <w:r w:rsidRPr="008E1C77">
              <w:rPr>
                <w:rFonts w:ascii="Times New Roman" w:hAnsi="Times New Roman" w:cs="Times New Roman"/>
                <w:sz w:val="20"/>
                <w:szCs w:val="20"/>
              </w:rPr>
              <w:t xml:space="preserve">Voir Brun, Tremblay et Brouillet, </w:t>
            </w:r>
            <w:r w:rsidRPr="008E1C77">
              <w:rPr>
                <w:rFonts w:ascii="Times New Roman" w:hAnsi="Times New Roman" w:cs="Times New Roman"/>
                <w:i/>
                <w:iCs/>
                <w:sz w:val="20"/>
                <w:szCs w:val="20"/>
              </w:rPr>
              <w:t xml:space="preserve">supra </w:t>
            </w:r>
            <w:r w:rsidRPr="008E1C77">
              <w:rPr>
                <w:rFonts w:ascii="Times New Roman" w:hAnsi="Times New Roman" w:cs="Times New Roman"/>
                <w:sz w:val="20"/>
                <w:szCs w:val="20"/>
              </w:rPr>
              <w:t>note 15.</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2EE0968A"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6E0274" w:rsidP="00AC0492" w:rsidRDefault="006E0274" w14:paraId="78FC090A"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77F3CDD3" w14:textId="77777777">
            <w:pPr>
              <w:rPr>
                <w:rFonts w:ascii="Times New Roman" w:hAnsi="Times New Roman" w:eastAsia="Times New Roman" w:cs="Times New Roman"/>
                <w:color w:val="000000"/>
                <w:kern w:val="0"/>
                <w:sz w:val="20"/>
                <w:szCs w:val="20"/>
                <w14:ligatures w14:val="none"/>
              </w:rPr>
            </w:pPr>
          </w:p>
        </w:tc>
      </w:tr>
      <w:tr w:rsidRPr="001B1733" w:rsidR="006E0274" w:rsidTr="276AEDD1" w14:paraId="5B9F08F5" w14:textId="77777777">
        <w:trPr>
          <w:trHeight w:val="849"/>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6E0274" w:rsidP="00AC0492" w:rsidRDefault="006E0274" w14:paraId="71B47078" w14:textId="0381974B">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018</w:t>
            </w:r>
          </w:p>
        </w:tc>
        <w:tc>
          <w:tcPr>
            <w:tcW w:w="3819" w:type="dxa"/>
            <w:tcBorders>
              <w:top w:val="single" w:color="auto" w:sz="4" w:space="0"/>
              <w:left w:val="nil"/>
              <w:bottom w:val="single" w:color="auto" w:sz="4" w:space="0"/>
              <w:right w:val="nil"/>
            </w:tcBorders>
            <w:noWrap/>
            <w:tcMar/>
            <w:vAlign w:val="center"/>
          </w:tcPr>
          <w:p w:rsidRPr="008E1C77" w:rsidR="006E0274" w:rsidP="276AEDD1" w:rsidRDefault="008E1C77" w14:paraId="324B9B17" w14:textId="60BC4D9E">
            <w:pPr>
              <w:rPr>
                <w:rFonts w:ascii="Times New Roman" w:hAnsi="Times New Roman" w:cs="Times New Roman"/>
                <w:sz w:val="20"/>
                <w:szCs w:val="20"/>
                <w:lang w:val="fr-CA"/>
              </w:rPr>
            </w:pPr>
            <w:r w:rsidRPr="276AEDD1" w:rsidR="008E1C77">
              <w:rPr>
                <w:rFonts w:ascii="Times New Roman" w:hAnsi="Times New Roman" w:cs="Times New Roman"/>
                <w:sz w:val="20"/>
                <w:szCs w:val="20"/>
                <w:lang w:val="fr-CA"/>
              </w:rPr>
              <w:t xml:space="preserve">Voir </w:t>
            </w:r>
            <w:r w:rsidRPr="276AEDD1" w:rsidR="008E1C77">
              <w:rPr>
                <w:rFonts w:ascii="Times New Roman" w:hAnsi="Times New Roman" w:cs="Times New Roman"/>
                <w:i w:val="1"/>
                <w:iCs w:val="1"/>
                <w:sz w:val="20"/>
                <w:szCs w:val="20"/>
                <w:lang w:val="fr-CA"/>
              </w:rPr>
              <w:t>Ontario (AG) v. Canada Temperance Federation</w:t>
            </w:r>
            <w:r w:rsidRPr="276AEDD1" w:rsidR="008E1C77">
              <w:rPr>
                <w:rFonts w:ascii="Times New Roman" w:hAnsi="Times New Roman" w:cs="Times New Roman"/>
                <w:sz w:val="20"/>
                <w:szCs w:val="20"/>
                <w:lang w:val="fr-CA"/>
              </w:rPr>
              <w:t>, [1946] UKPC 2 (JCPC</w:t>
            </w:r>
            <w:r w:rsidRPr="276AEDD1" w:rsidR="008E1C77">
              <w:rPr>
                <w:rFonts w:ascii="Times New Roman" w:hAnsi="Times New Roman" w:cs="Times New Roman"/>
                <w:sz w:val="20"/>
                <w:szCs w:val="20"/>
                <w:lang w:val="fr-CA"/>
              </w:rPr>
              <w:t>)..</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19897FA0" w14:textId="77777777">
            <w:pPr>
              <w:rPr>
                <w:rFonts w:ascii="Times New Roman" w:hAnsi="Times New Roman" w:eastAsia="Times New Roman" w:cs="Times New Roman"/>
                <w:i/>
                <w:iCs/>
                <w:color w:val="000000"/>
                <w:kern w:val="0"/>
                <w:sz w:val="20"/>
                <w:szCs w:val="20"/>
                <w:lang w:val="en-CA"/>
                <w14:ligatures w14:val="none"/>
              </w:rPr>
            </w:pPr>
          </w:p>
        </w:tc>
        <w:tc>
          <w:tcPr>
            <w:tcW w:w="3938" w:type="dxa"/>
            <w:tcBorders>
              <w:top w:val="single" w:color="auto" w:sz="4" w:space="0"/>
              <w:left w:val="nil"/>
              <w:bottom w:val="single" w:color="auto" w:sz="4" w:space="0"/>
              <w:right w:val="nil"/>
            </w:tcBorders>
            <w:noWrap/>
            <w:tcMar/>
            <w:vAlign w:val="center"/>
          </w:tcPr>
          <w:p w:rsidRPr="006E0274" w:rsidR="006E0274" w:rsidP="00AC0492" w:rsidRDefault="006E0274" w14:paraId="4AF1CE6D" w14:textId="77777777">
            <w:pPr>
              <w:rPr>
                <w:rFonts w:ascii="Times New Roman" w:hAnsi="Times New Roman" w:eastAsia="Times New Roman" w:cs="Times New Roman"/>
                <w:i/>
                <w:iCs/>
                <w:color w:val="FF0000"/>
                <w:kern w:val="0"/>
                <w:sz w:val="20"/>
                <w:szCs w:val="20"/>
                <w:lang w:val="en-CA"/>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3989195E" w14:textId="77777777">
            <w:pPr>
              <w:rPr>
                <w:rFonts w:ascii="Times New Roman" w:hAnsi="Times New Roman" w:eastAsia="Times New Roman" w:cs="Times New Roman"/>
                <w:color w:val="000000"/>
                <w:kern w:val="0"/>
                <w:sz w:val="20"/>
                <w:szCs w:val="20"/>
                <w:lang w:val="en-CA"/>
                <w14:ligatures w14:val="none"/>
              </w:rPr>
            </w:pPr>
          </w:p>
        </w:tc>
      </w:tr>
      <w:tr w:rsidRPr="006E0274" w:rsidR="006E0274" w:rsidTr="276AEDD1" w14:paraId="1A7098A1" w14:textId="77777777">
        <w:trPr>
          <w:trHeight w:val="1229"/>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6E0274" w:rsidP="00AC0492" w:rsidRDefault="006E0274" w14:paraId="502E690E" w14:textId="0B08F1FA">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019</w:t>
            </w:r>
          </w:p>
        </w:tc>
        <w:tc>
          <w:tcPr>
            <w:tcW w:w="3819" w:type="dxa"/>
            <w:tcBorders>
              <w:top w:val="single" w:color="auto" w:sz="4" w:space="0"/>
              <w:left w:val="nil"/>
              <w:bottom w:val="single" w:color="auto" w:sz="4" w:space="0"/>
              <w:right w:val="nil"/>
            </w:tcBorders>
            <w:noWrap/>
            <w:tcMar/>
            <w:vAlign w:val="center"/>
          </w:tcPr>
          <w:p w:rsidRPr="008E1C77" w:rsidR="006E0274" w:rsidP="00AC0492" w:rsidRDefault="008E1C77" w14:paraId="1F812843" w14:textId="0B9793CD">
            <w:pPr>
              <w:rPr>
                <w:rFonts w:ascii="Times New Roman" w:hAnsi="Times New Roman" w:cs="Times New Roman"/>
                <w:sz w:val="20"/>
                <w:szCs w:val="20"/>
              </w:rPr>
            </w:pPr>
            <w:r w:rsidRPr="008E1C77">
              <w:rPr>
                <w:rFonts w:ascii="Times New Roman" w:hAnsi="Times New Roman" w:cs="Times New Roman"/>
                <w:sz w:val="20"/>
                <w:szCs w:val="20"/>
              </w:rPr>
              <w:t xml:space="preserve">Voir les compétences provinciales énumérées à l’article 92 de la </w:t>
            </w:r>
            <w:r w:rsidRPr="008E1C77">
              <w:rPr>
                <w:rFonts w:ascii="Times New Roman" w:hAnsi="Times New Roman" w:cs="Times New Roman"/>
                <w:i/>
                <w:iCs/>
                <w:sz w:val="20"/>
                <w:szCs w:val="20"/>
              </w:rPr>
              <w:t>Loi constitutionnelle de 1869</w:t>
            </w:r>
            <w:r w:rsidRPr="008E1C77">
              <w:rPr>
                <w:rFonts w:ascii="Times New Roman" w:hAnsi="Times New Roman" w:cs="Times New Roman"/>
                <w:sz w:val="20"/>
                <w:szCs w:val="20"/>
              </w:rPr>
              <w:t xml:space="preserve">, </w:t>
            </w:r>
            <w:r w:rsidRPr="008E1C77">
              <w:rPr>
                <w:rFonts w:ascii="Times New Roman" w:hAnsi="Times New Roman" w:cs="Times New Roman"/>
                <w:i/>
                <w:iCs/>
                <w:sz w:val="20"/>
                <w:szCs w:val="20"/>
              </w:rPr>
              <w:t>supra</w:t>
            </w:r>
            <w:r w:rsidRPr="008E1C77">
              <w:rPr>
                <w:rFonts w:ascii="Times New Roman" w:hAnsi="Times New Roman" w:cs="Times New Roman"/>
                <w:sz w:val="20"/>
                <w:szCs w:val="20"/>
              </w:rPr>
              <w:t xml:space="preserve"> note 1</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38F25494"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6E0274" w:rsidP="00AC0492" w:rsidRDefault="006E0274" w14:paraId="43A37B1F"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71B7276E" w14:textId="77777777">
            <w:pPr>
              <w:rPr>
                <w:rFonts w:ascii="Times New Roman" w:hAnsi="Times New Roman" w:eastAsia="Times New Roman" w:cs="Times New Roman"/>
                <w:color w:val="000000"/>
                <w:kern w:val="0"/>
                <w:sz w:val="20"/>
                <w:szCs w:val="20"/>
                <w14:ligatures w14:val="none"/>
              </w:rPr>
            </w:pPr>
          </w:p>
        </w:tc>
      </w:tr>
      <w:tr w:rsidRPr="006E0274" w:rsidR="006E0274" w:rsidTr="276AEDD1" w14:paraId="3BB8E4C7" w14:textId="77777777">
        <w:trPr>
          <w:trHeight w:val="2400"/>
        </w:trPr>
        <w:tc>
          <w:tcPr>
            <w:tcW w:w="701"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center"/>
          </w:tcPr>
          <w:p w:rsidRPr="006E0274" w:rsidR="006E0274" w:rsidP="00AC0492" w:rsidRDefault="006E0274" w14:paraId="091146AD" w14:textId="53BC635C">
            <w:pPr>
              <w:jc w:val="center"/>
              <w:rPr>
                <w:rFonts w:ascii="Times New Roman" w:hAnsi="Times New Roman" w:eastAsia="Times New Roman" w:cs="Times New Roman"/>
                <w:color w:val="000000"/>
                <w:kern w:val="0"/>
                <w:sz w:val="20"/>
                <w:szCs w:val="20"/>
                <w14:ligatures w14:val="none"/>
              </w:rPr>
            </w:pPr>
            <w:r w:rsidRPr="006E0274">
              <w:rPr>
                <w:rFonts w:ascii="Times New Roman" w:hAnsi="Times New Roman" w:eastAsia="Times New Roman" w:cs="Times New Roman"/>
                <w:color w:val="000000"/>
                <w:kern w:val="0"/>
                <w:sz w:val="20"/>
                <w:szCs w:val="20"/>
                <w14:ligatures w14:val="none"/>
              </w:rPr>
              <w:t>020</w:t>
            </w:r>
          </w:p>
        </w:tc>
        <w:tc>
          <w:tcPr>
            <w:tcW w:w="3819" w:type="dxa"/>
            <w:tcBorders>
              <w:top w:val="single" w:color="auto" w:sz="4" w:space="0"/>
              <w:left w:val="nil"/>
              <w:bottom w:val="single" w:color="auto" w:sz="4" w:space="0"/>
              <w:right w:val="nil"/>
            </w:tcBorders>
            <w:noWrap/>
            <w:tcMar/>
            <w:vAlign w:val="center"/>
          </w:tcPr>
          <w:p w:rsidRPr="008E1C77" w:rsidR="006E0274" w:rsidP="00AC0492" w:rsidRDefault="008E1C77" w14:paraId="76D12386" w14:textId="5B9B4E56">
            <w:pPr>
              <w:rPr>
                <w:rFonts w:ascii="Times New Roman" w:hAnsi="Times New Roman" w:cs="Times New Roman"/>
                <w:sz w:val="20"/>
                <w:szCs w:val="20"/>
              </w:rPr>
            </w:pPr>
            <w:r w:rsidRPr="008E1C77">
              <w:rPr>
                <w:rFonts w:ascii="Times New Roman" w:hAnsi="Times New Roman" w:cs="Times New Roman"/>
                <w:sz w:val="20"/>
                <w:szCs w:val="20"/>
              </w:rPr>
              <w:t>Comme l’a affirmé la juge en chef Richard Wagner au nom de la majorité, « une matière "dépourvue de spécificité" et qui ne connaît pas de limites n’est pas acceptable comme matière d’intérêt national » (</w:t>
            </w:r>
            <w:r w:rsidRPr="008E1C77">
              <w:rPr>
                <w:rFonts w:ascii="Times New Roman" w:hAnsi="Times New Roman" w:cs="Times New Roman"/>
                <w:i/>
                <w:iCs/>
                <w:sz w:val="20"/>
                <w:szCs w:val="20"/>
              </w:rPr>
              <w:t>Renvoi ‒ Loi tarifiant la pollution</w:t>
            </w:r>
            <w:r w:rsidRPr="008E1C77">
              <w:rPr>
                <w:rFonts w:ascii="Times New Roman" w:hAnsi="Times New Roman" w:cs="Times New Roman"/>
                <w:sz w:val="20"/>
                <w:szCs w:val="20"/>
              </w:rPr>
              <w:t xml:space="preserve">, </w:t>
            </w:r>
            <w:r w:rsidRPr="008E1C77">
              <w:rPr>
                <w:rFonts w:ascii="Times New Roman" w:hAnsi="Times New Roman" w:cs="Times New Roman"/>
                <w:i/>
                <w:iCs/>
                <w:sz w:val="20"/>
                <w:szCs w:val="20"/>
              </w:rPr>
              <w:t>supra</w:t>
            </w:r>
            <w:r w:rsidRPr="008E1C77">
              <w:rPr>
                <w:rFonts w:ascii="Times New Roman" w:hAnsi="Times New Roman" w:cs="Times New Roman"/>
                <w:sz w:val="20"/>
                <w:szCs w:val="20"/>
              </w:rPr>
              <w:t xml:space="preserve"> note 2 au para 147 citant </w:t>
            </w:r>
            <w:r w:rsidRPr="008E1C77">
              <w:rPr>
                <w:rFonts w:ascii="Times New Roman" w:hAnsi="Times New Roman" w:cs="Times New Roman"/>
                <w:i/>
                <w:iCs/>
                <w:sz w:val="20"/>
                <w:szCs w:val="20"/>
              </w:rPr>
              <w:t>Renvoi ‒ Loi anti-inflation</w:t>
            </w:r>
            <w:r w:rsidRPr="008E1C77">
              <w:rPr>
                <w:rFonts w:ascii="Times New Roman" w:hAnsi="Times New Roman" w:cs="Times New Roman"/>
                <w:sz w:val="20"/>
                <w:szCs w:val="20"/>
              </w:rPr>
              <w:t>, supra note 2 à la p 458.</w:t>
            </w:r>
          </w:p>
        </w:tc>
        <w:tc>
          <w:tcPr>
            <w:tcW w:w="359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504CD339" w14:textId="77777777">
            <w:pPr>
              <w:rPr>
                <w:rFonts w:ascii="Times New Roman" w:hAnsi="Times New Roman" w:eastAsia="Times New Roman" w:cs="Times New Roman"/>
                <w:i/>
                <w:iCs/>
                <w:color w:val="000000"/>
                <w:kern w:val="0"/>
                <w:sz w:val="20"/>
                <w:szCs w:val="20"/>
                <w14:ligatures w14:val="none"/>
              </w:rPr>
            </w:pPr>
          </w:p>
        </w:tc>
        <w:tc>
          <w:tcPr>
            <w:tcW w:w="3938" w:type="dxa"/>
            <w:tcBorders>
              <w:top w:val="single" w:color="auto" w:sz="4" w:space="0"/>
              <w:left w:val="nil"/>
              <w:bottom w:val="single" w:color="auto" w:sz="4" w:space="0"/>
              <w:right w:val="nil"/>
            </w:tcBorders>
            <w:noWrap/>
            <w:tcMar/>
            <w:vAlign w:val="center"/>
          </w:tcPr>
          <w:p w:rsidRPr="006E0274" w:rsidR="006E0274" w:rsidP="00AC0492" w:rsidRDefault="006E0274" w14:paraId="2E50222D" w14:textId="77777777">
            <w:pPr>
              <w:rPr>
                <w:rFonts w:ascii="Times New Roman" w:hAnsi="Times New Roman" w:eastAsia="Times New Roman" w:cs="Times New Roman"/>
                <w:i/>
                <w:iCs/>
                <w:color w:val="FF0000"/>
                <w:kern w:val="0"/>
                <w:sz w:val="20"/>
                <w:szCs w:val="20"/>
                <w14:ligatures w14:val="none"/>
              </w:rPr>
            </w:pPr>
          </w:p>
        </w:tc>
        <w:tc>
          <w:tcPr>
            <w:tcW w:w="252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E0274" w:rsidR="006E0274" w:rsidP="00AC0492" w:rsidRDefault="006E0274" w14:paraId="533BE479" w14:textId="77777777">
            <w:pPr>
              <w:rPr>
                <w:rFonts w:ascii="Times New Roman" w:hAnsi="Times New Roman" w:eastAsia="Times New Roman" w:cs="Times New Roman"/>
                <w:color w:val="000000"/>
                <w:kern w:val="0"/>
                <w:sz w:val="20"/>
                <w:szCs w:val="20"/>
                <w14:ligatures w14:val="none"/>
              </w:rPr>
            </w:pPr>
          </w:p>
        </w:tc>
      </w:tr>
    </w:tbl>
    <w:p w:rsidRPr="006E0274" w:rsidR="009A50C0" w:rsidP="00313F42" w:rsidRDefault="009A50C0" w14:paraId="1BE705A4" w14:textId="77777777">
      <w:pPr>
        <w:pStyle w:val="Paragraph"/>
        <w:spacing w:after="0" w:line="480" w:lineRule="auto"/>
        <w:ind w:firstLine="0"/>
      </w:pPr>
    </w:p>
    <w:sectPr w:rsidRPr="006E0274" w:rsidR="009A50C0" w:rsidSect="00313F42">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9A3" w:rsidP="00181DEA" w:rsidRDefault="00E169A3" w14:paraId="05D4090E" w14:textId="77777777">
      <w:r>
        <w:separator/>
      </w:r>
    </w:p>
  </w:endnote>
  <w:endnote w:type="continuationSeparator" w:id="0">
    <w:p w:rsidR="00E169A3" w:rsidP="00181DEA" w:rsidRDefault="00E169A3" w14:paraId="79C1D243" w14:textId="77777777">
      <w:r>
        <w:continuationSeparator/>
      </w:r>
    </w:p>
  </w:endnote>
  <w:endnote w:type="continuationNotice" w:id="1">
    <w:p w:rsidR="00E169A3" w:rsidRDefault="00E169A3" w14:paraId="3C1D56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339081"/>
      <w:docPartObj>
        <w:docPartGallery w:val="Page Numbers (Bottom of Page)"/>
        <w:docPartUnique/>
      </w:docPartObj>
    </w:sdtPr>
    <w:sdtContent>
      <w:p w:rsidR="0088700E" w:rsidP="00F22B2A" w:rsidRDefault="0088700E" w14:paraId="596DDC3A" w14:textId="1D2C434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88700E" w:rsidP="0088700E" w:rsidRDefault="0088700E" w14:paraId="55676F3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70379399"/>
      <w:docPartObj>
        <w:docPartGallery w:val="Page Numbers (Bottom of Page)"/>
        <w:docPartUnique/>
      </w:docPartObj>
    </w:sdtPr>
    <w:sdtContent>
      <w:p w:rsidRPr="0088700E" w:rsidR="0088700E" w:rsidP="00F22B2A" w:rsidRDefault="0088700E" w14:paraId="6B0F1350" w14:textId="3C890242">
        <w:pPr>
          <w:pStyle w:val="Footer"/>
          <w:framePr w:wrap="none" w:hAnchor="margin" w:vAnchor="text" w:xAlign="right" w:y="1"/>
          <w:rPr>
            <w:rStyle w:val="PageNumber"/>
            <w:rFonts w:ascii="Times New Roman" w:hAnsi="Times New Roman" w:cs="Times New Roman"/>
          </w:rPr>
        </w:pPr>
        <w:r w:rsidRPr="0088700E">
          <w:rPr>
            <w:rStyle w:val="PageNumber"/>
            <w:rFonts w:ascii="Times New Roman" w:hAnsi="Times New Roman" w:cs="Times New Roman"/>
          </w:rPr>
          <w:fldChar w:fldCharType="begin"/>
        </w:r>
        <w:r w:rsidRPr="0088700E">
          <w:rPr>
            <w:rStyle w:val="PageNumber"/>
            <w:rFonts w:ascii="Times New Roman" w:hAnsi="Times New Roman" w:cs="Times New Roman"/>
          </w:rPr>
          <w:instrText xml:space="preserve"> PAGE </w:instrText>
        </w:r>
        <w:r w:rsidRPr="0088700E">
          <w:rPr>
            <w:rStyle w:val="PageNumber"/>
            <w:rFonts w:ascii="Times New Roman" w:hAnsi="Times New Roman" w:cs="Times New Roman"/>
          </w:rPr>
          <w:fldChar w:fldCharType="separate"/>
        </w:r>
        <w:r w:rsidRPr="0088700E">
          <w:rPr>
            <w:rStyle w:val="PageNumber"/>
            <w:rFonts w:ascii="Times New Roman" w:hAnsi="Times New Roman" w:cs="Times New Roman"/>
            <w:noProof/>
          </w:rPr>
          <w:t>1</w:t>
        </w:r>
        <w:r w:rsidRPr="0088700E">
          <w:rPr>
            <w:rStyle w:val="PageNumber"/>
            <w:rFonts w:ascii="Times New Roman" w:hAnsi="Times New Roman" w:cs="Times New Roman"/>
          </w:rPr>
          <w:fldChar w:fldCharType="end"/>
        </w:r>
      </w:p>
    </w:sdtContent>
    <w:sdtEndPr>
      <w:rPr>
        <w:rStyle w:val="PageNumber"/>
        <w:rFonts w:ascii="Times New Roman" w:hAnsi="Times New Roman" w:cs="Times New Roman"/>
      </w:rPr>
    </w:sdtEndPr>
  </w:sdt>
  <w:p w:rsidR="0088700E" w:rsidP="0088700E" w:rsidRDefault="0088700E" w14:paraId="000FFB9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9A3" w:rsidP="00181DEA" w:rsidRDefault="00E169A3" w14:paraId="6C6F69AF" w14:textId="77777777">
      <w:r>
        <w:separator/>
      </w:r>
    </w:p>
  </w:footnote>
  <w:footnote w:type="continuationSeparator" w:id="0">
    <w:p w:rsidR="00E169A3" w:rsidP="00181DEA" w:rsidRDefault="00E169A3" w14:paraId="0454FBB0" w14:textId="77777777">
      <w:r>
        <w:continuationSeparator/>
      </w:r>
    </w:p>
  </w:footnote>
  <w:footnote w:type="continuationNotice" w:id="1">
    <w:p w:rsidR="00E169A3" w:rsidRDefault="00E169A3" w14:paraId="2C76A1B6" w14:textId="77777777"/>
  </w:footnote>
  <w:footnote w:id="2">
    <w:p w:rsidRPr="004E5664" w:rsidR="00952D33" w:rsidP="00952D33" w:rsidRDefault="00952D33" w14:paraId="7665FAD0" w14:textId="3A976C88">
      <w:pPr>
        <w:pStyle w:val="FootnoteText"/>
      </w:pPr>
      <w:r w:rsidRPr="004E5664">
        <w:rPr>
          <w:rStyle w:val="FootnoteReference"/>
        </w:rPr>
        <w:footnoteRef/>
      </w:r>
      <w:r w:rsidRPr="004E5664">
        <w:t xml:space="preserve"> </w:t>
      </w:r>
      <w:r w:rsidRPr="00A03288">
        <w:t>Loi constitutionnelle de 1867</w:t>
      </w:r>
      <w:r w:rsidRPr="004E5664">
        <w:t xml:space="preserve"> </w:t>
      </w:r>
      <w:r w:rsidRPr="004E5664" w:rsidR="00B42DF3">
        <w:t xml:space="preserve">(R-U) 30 &amp; 31 </w:t>
      </w:r>
      <w:proofErr w:type="spellStart"/>
      <w:r w:rsidRPr="004E5664" w:rsidR="00B42DF3">
        <w:t>Vict</w:t>
      </w:r>
      <w:proofErr w:type="spellEnd"/>
      <w:r w:rsidRPr="004E5664" w:rsidR="00B42DF3">
        <w:t xml:space="preserve">, c 3, reproduit dans LRC 1985, </w:t>
      </w:r>
      <w:proofErr w:type="spellStart"/>
      <w:r w:rsidRPr="004E5664" w:rsidR="00B42DF3">
        <w:t>ann</w:t>
      </w:r>
      <w:proofErr w:type="spellEnd"/>
      <w:r w:rsidRPr="004E5664" w:rsidR="00B42DF3">
        <w:t> II, n</w:t>
      </w:r>
      <w:r w:rsidRPr="004E5664" w:rsidR="00B42DF3">
        <w:rPr>
          <w:vertAlign w:val="superscript"/>
        </w:rPr>
        <w:t>o</w:t>
      </w:r>
      <w:r w:rsidRPr="004E5664" w:rsidR="00B42DF3">
        <w:t> 5</w:t>
      </w:r>
      <w:r w:rsidRPr="004E5664" w:rsidR="00322385">
        <w:t>, art 91</w:t>
      </w:r>
      <w:r w:rsidRPr="004E5664">
        <w:t>.</w:t>
      </w:r>
    </w:p>
  </w:footnote>
  <w:footnote w:id="3">
    <w:p w:rsidRPr="004E5664" w:rsidR="00952D33" w:rsidP="00952D33" w:rsidRDefault="00952D33" w14:paraId="4153FCA4" w14:textId="5DC214D4">
      <w:pPr>
        <w:pStyle w:val="FootnoteText"/>
      </w:pPr>
      <w:r w:rsidRPr="004E5664">
        <w:rPr>
          <w:rStyle w:val="FootnoteReference"/>
        </w:rPr>
        <w:footnoteRef/>
      </w:r>
      <w:r w:rsidRPr="004E5664">
        <w:t xml:space="preserve"> </w:t>
      </w:r>
      <w:r w:rsidRPr="004E5664">
        <w:rPr>
          <w:i/>
          <w:iCs/>
        </w:rPr>
        <w:t>Renvoi relatif à la Loi anti-inflation</w:t>
      </w:r>
      <w:r w:rsidRPr="004E5664">
        <w:t>, [1976] 2 RCS 373 aux pp 422–</w:t>
      </w:r>
      <w:r w:rsidR="00322385">
        <w:t>4</w:t>
      </w:r>
      <w:r w:rsidRPr="004E5664">
        <w:t>27 [</w:t>
      </w:r>
      <w:r w:rsidRPr="004E5664">
        <w:rPr>
          <w:i/>
          <w:iCs/>
        </w:rPr>
        <w:t>Renvoi ‒ Loi anti-inflation</w:t>
      </w:r>
      <w:r w:rsidRPr="004E5664">
        <w:t>], confirmé</w:t>
      </w:r>
      <w:r w:rsidR="00322385">
        <w:t>e</w:t>
      </w:r>
      <w:r w:rsidRPr="004E5664">
        <w:t xml:space="preserve"> en partie par </w:t>
      </w:r>
      <w:r w:rsidRPr="004E5664">
        <w:rPr>
          <w:i/>
          <w:iCs/>
        </w:rPr>
        <w:t>Renvois relatifs à la Loi sur la tarification de la pollution causée par les gaz à effet de serre</w:t>
      </w:r>
      <w:r w:rsidRPr="004E5664">
        <w:t>, 2021 CSC 11</w:t>
      </w:r>
      <w:r w:rsidR="00064A5A">
        <w:t>,</w:t>
      </w:r>
      <w:r w:rsidRPr="004E5664">
        <w:t xml:space="preserve"> au</w:t>
      </w:r>
      <w:r w:rsidR="00B9656B">
        <w:t>x</w:t>
      </w:r>
      <w:r w:rsidRPr="004E5664">
        <w:t xml:space="preserve"> para 102 [</w:t>
      </w:r>
      <w:r w:rsidRPr="004E5664">
        <w:rPr>
          <w:i/>
          <w:iCs/>
        </w:rPr>
        <w:t>Renvoi ‒ Loi tarifiant la pollution</w:t>
      </w:r>
      <w:r w:rsidRPr="004E5664">
        <w:t>]</w:t>
      </w:r>
    </w:p>
  </w:footnote>
  <w:footnote w:id="4">
    <w:p w:rsidRPr="00A03288" w:rsidR="00952D33" w:rsidP="00952D33" w:rsidRDefault="00952D33" w14:paraId="4E0FFBD0" w14:textId="79A5F92E">
      <w:pPr>
        <w:pStyle w:val="FootnoteText"/>
      </w:pPr>
      <w:r w:rsidRPr="004E5664">
        <w:rPr>
          <w:rStyle w:val="FootnoteReference"/>
        </w:rPr>
        <w:footnoteRef/>
      </w:r>
      <w:r w:rsidRPr="00A03288">
        <w:t xml:space="preserve"> L</w:t>
      </w:r>
      <w:r w:rsidRPr="00A03288" w:rsidR="00322385">
        <w:t>.</w:t>
      </w:r>
      <w:r w:rsidRPr="00A03288">
        <w:t>R</w:t>
      </w:r>
      <w:r w:rsidRPr="00A03288" w:rsidR="00322385">
        <w:t>.</w:t>
      </w:r>
      <w:r w:rsidRPr="00A03288">
        <w:t>C</w:t>
      </w:r>
      <w:r w:rsidRPr="00A03288" w:rsidR="00322385">
        <w:t>.</w:t>
      </w:r>
      <w:r w:rsidRPr="00A03288">
        <w:t xml:space="preserve"> 1985, c 22 (4e supp).</w:t>
      </w:r>
    </w:p>
  </w:footnote>
  <w:footnote w:id="5">
    <w:p w:rsidRPr="00D4564B" w:rsidR="00952D33" w:rsidP="00952D33" w:rsidRDefault="00952D33" w14:paraId="563C4B67" w14:textId="6F5556B0">
      <w:pPr>
        <w:pStyle w:val="FootnoteText"/>
      </w:pPr>
      <w:r w:rsidRPr="004E5664">
        <w:rPr>
          <w:rStyle w:val="FootnoteReference"/>
        </w:rPr>
        <w:footnoteRef/>
      </w:r>
      <w:r w:rsidRPr="00A03288">
        <w:t> </w:t>
      </w:r>
      <w:r w:rsidRPr="00A03288">
        <w:rPr>
          <w:i/>
        </w:rPr>
        <w:t>Ibid,</w:t>
      </w:r>
      <w:r w:rsidRPr="00A03288">
        <w:t xml:space="preserve"> </w:t>
      </w:r>
      <w:r w:rsidRPr="00A03288" w:rsidR="00064A5A">
        <w:t>P</w:t>
      </w:r>
      <w:r w:rsidRPr="00D4564B">
        <w:t>réambule, al 1.</w:t>
      </w:r>
    </w:p>
  </w:footnote>
  <w:footnote w:id="6">
    <w:p w:rsidRPr="004E5664" w:rsidR="00952D33" w:rsidP="00952D33" w:rsidRDefault="00952D33" w14:paraId="3758A240" w14:textId="41CA3FC0">
      <w:pPr>
        <w:pStyle w:val="FootnoteText"/>
      </w:pPr>
      <w:r w:rsidRPr="004E5664">
        <w:rPr>
          <w:rStyle w:val="FootnoteReference"/>
        </w:rPr>
        <w:footnoteRef/>
      </w:r>
      <w:r w:rsidRPr="004E5664">
        <w:rPr>
          <w:i/>
          <w:iCs/>
        </w:rPr>
        <w:t xml:space="preserve"> </w:t>
      </w:r>
      <w:r w:rsidRPr="004E5664" w:rsidR="00474C9E">
        <w:rPr>
          <w:i/>
          <w:iCs/>
        </w:rPr>
        <w:t>Renvoi ‒ Loi tarifiant la pollution</w:t>
      </w:r>
      <w:r w:rsidRPr="004E5664" w:rsidR="00474C9E">
        <w:t xml:space="preserve">, </w:t>
      </w:r>
      <w:r w:rsidRPr="004E5664" w:rsidR="00474C9E">
        <w:rPr>
          <w:i/>
        </w:rPr>
        <w:t>supra</w:t>
      </w:r>
      <w:r w:rsidRPr="004E5664" w:rsidR="00474C9E">
        <w:t xml:space="preserve"> note </w:t>
      </w:r>
      <w:r w:rsidR="00791998">
        <w:t>2</w:t>
      </w:r>
      <w:r w:rsidRPr="004E5664" w:rsidR="00474C9E">
        <w:t xml:space="preserve"> au</w:t>
      </w:r>
      <w:r w:rsidR="00016622">
        <w:t>x</w:t>
      </w:r>
      <w:r w:rsidRPr="004E5664" w:rsidR="00474C9E">
        <w:t xml:space="preserve"> para 145, citant</w:t>
      </w:r>
      <w:r w:rsidRPr="004E5664" w:rsidR="00474C9E">
        <w:rPr>
          <w:i/>
          <w:iCs/>
        </w:rPr>
        <w:t xml:space="preserve"> R c Crown </w:t>
      </w:r>
      <w:proofErr w:type="spellStart"/>
      <w:r w:rsidRPr="004E5664" w:rsidR="00474C9E">
        <w:rPr>
          <w:i/>
          <w:iCs/>
        </w:rPr>
        <w:t>Zellerbach</w:t>
      </w:r>
      <w:proofErr w:type="spellEnd"/>
      <w:r w:rsidRPr="004E5664" w:rsidR="00474C9E">
        <w:rPr>
          <w:i/>
          <w:iCs/>
        </w:rPr>
        <w:t xml:space="preserve"> Canada Ltd</w:t>
      </w:r>
      <w:r w:rsidRPr="004E5664" w:rsidR="00474C9E">
        <w:t>, [1988] 1 RCS</w:t>
      </w:r>
      <w:r w:rsidR="00474C9E">
        <w:t xml:space="preserve"> </w:t>
      </w:r>
      <w:r w:rsidR="00CA2F29">
        <w:t>4</w:t>
      </w:r>
      <w:r w:rsidRPr="004E5664" w:rsidR="00474C9E">
        <w:t>01</w:t>
      </w:r>
      <w:r w:rsidR="00791998">
        <w:t>,</w:t>
      </w:r>
      <w:r w:rsidR="00474C9E">
        <w:t xml:space="preserve"> </w:t>
      </w:r>
      <w:r w:rsidR="000331AE">
        <w:t xml:space="preserve">au para 37 </w:t>
      </w:r>
      <w:r w:rsidRPr="004E5664" w:rsidR="00474C9E">
        <w:t>[</w:t>
      </w:r>
      <w:r w:rsidRPr="004E5664" w:rsidR="00474C9E">
        <w:rPr>
          <w:i/>
          <w:iCs/>
        </w:rPr>
        <w:t xml:space="preserve">Crown </w:t>
      </w:r>
      <w:proofErr w:type="spellStart"/>
      <w:r w:rsidRPr="004E5664" w:rsidR="00474C9E">
        <w:rPr>
          <w:i/>
          <w:iCs/>
        </w:rPr>
        <w:t>Zellerbach</w:t>
      </w:r>
      <w:proofErr w:type="spellEnd"/>
      <w:r w:rsidRPr="004E5664" w:rsidR="00474C9E">
        <w:t>].</w:t>
      </w:r>
    </w:p>
  </w:footnote>
  <w:footnote w:id="7">
    <w:p w:rsidRPr="004E5664" w:rsidR="00952D33" w:rsidP="00952D33" w:rsidRDefault="00952D33" w14:paraId="5E554099" w14:textId="6422D1F2">
      <w:pPr>
        <w:pStyle w:val="FootnoteText"/>
      </w:pPr>
      <w:r w:rsidRPr="004E5664">
        <w:rPr>
          <w:rStyle w:val="FootnoteReference"/>
        </w:rPr>
        <w:footnoteRef/>
      </w:r>
      <w:r w:rsidRPr="004E5664">
        <w:t xml:space="preserve"> </w:t>
      </w:r>
      <w:r w:rsidRPr="004E5664">
        <w:rPr>
          <w:i/>
          <w:iCs/>
        </w:rPr>
        <w:t>Renvoi ‒ Loi tarifiant la pollution</w:t>
      </w:r>
      <w:r w:rsidRPr="004E5664">
        <w:t xml:space="preserve">, </w:t>
      </w:r>
      <w:r w:rsidRPr="004E5664">
        <w:rPr>
          <w:i/>
        </w:rPr>
        <w:t>supra</w:t>
      </w:r>
      <w:r w:rsidRPr="004E5664">
        <w:t xml:space="preserve"> note </w:t>
      </w:r>
      <w:r w:rsidRPr="004E5664">
        <w:fldChar w:fldCharType="begin"/>
      </w:r>
      <w:r w:rsidRPr="004E5664">
        <w:instrText xml:space="preserve"> NOTEREF _Ref182316898 \h </w:instrText>
      </w:r>
      <w:r w:rsidRPr="004E5664">
        <w:fldChar w:fldCharType="separate"/>
      </w:r>
      <w:r w:rsidR="00B42DF3">
        <w:t>2</w:t>
      </w:r>
      <w:r w:rsidRPr="004E5664">
        <w:fldChar w:fldCharType="end"/>
      </w:r>
      <w:r w:rsidRPr="004E5664">
        <w:t xml:space="preserve"> au para 160, citant</w:t>
      </w:r>
      <w:r w:rsidRPr="004E5664">
        <w:rPr>
          <w:i/>
          <w:iCs/>
        </w:rPr>
        <w:t xml:space="preserve"> Crown </w:t>
      </w:r>
      <w:proofErr w:type="spellStart"/>
      <w:r w:rsidRPr="004E5664">
        <w:rPr>
          <w:i/>
          <w:iCs/>
        </w:rPr>
        <w:t>Zellerbach</w:t>
      </w:r>
      <w:proofErr w:type="spellEnd"/>
      <w:r w:rsidRPr="004E5664">
        <w:t xml:space="preserve">, </w:t>
      </w:r>
      <w:r w:rsidRPr="004E5664">
        <w:rPr>
          <w:i/>
          <w:iCs/>
        </w:rPr>
        <w:t xml:space="preserve">supra </w:t>
      </w:r>
      <w:r w:rsidRPr="004E5664">
        <w:t>note</w:t>
      </w:r>
      <w:r w:rsidR="00474C9E">
        <w:t xml:space="preserve"> </w:t>
      </w:r>
      <w:r w:rsidR="00791998">
        <w:t>5</w:t>
      </w:r>
      <w:r w:rsidRPr="004E5664">
        <w:rPr>
          <w:i/>
          <w:iCs/>
        </w:rPr>
        <w:t xml:space="preserve"> </w:t>
      </w:r>
      <w:r w:rsidR="000331AE">
        <w:t>au para 37</w:t>
      </w:r>
      <w:r w:rsidRPr="004E5664">
        <w:t>.</w:t>
      </w:r>
    </w:p>
  </w:footnote>
  <w:footnote w:id="8">
    <w:p w:rsidRPr="004E5664" w:rsidR="00A741C8" w:rsidP="00A741C8" w:rsidRDefault="00A741C8" w14:paraId="6D1694C5" w14:textId="360D3BF6">
      <w:pPr>
        <w:pStyle w:val="FootnoteText"/>
      </w:pPr>
      <w:r w:rsidRPr="004E5664">
        <w:rPr>
          <w:rStyle w:val="FootnoteReference"/>
        </w:rPr>
        <w:footnoteRef/>
      </w:r>
      <w:r w:rsidRPr="00561256">
        <w:rPr>
          <w:lang w:val="en-CA"/>
        </w:rPr>
        <w:t> </w:t>
      </w:r>
      <w:r w:rsidRPr="00561256">
        <w:rPr>
          <w:i/>
          <w:iCs/>
          <w:lang w:val="en-CA"/>
        </w:rPr>
        <w:t>Johannesson v Municipality of West St Paul</w:t>
      </w:r>
      <w:r w:rsidRPr="00561256">
        <w:rPr>
          <w:lang w:val="en-CA"/>
        </w:rPr>
        <w:t xml:space="preserve">, </w:t>
      </w:r>
      <w:r w:rsidR="000331AE">
        <w:rPr>
          <w:lang w:val="en-CA"/>
        </w:rPr>
        <w:t>1951 CanLII 55</w:t>
      </w:r>
      <w:r w:rsidR="00322385">
        <w:rPr>
          <w:lang w:val="en-CA"/>
        </w:rPr>
        <w:t xml:space="preserve"> (CSC)</w:t>
      </w:r>
      <w:r w:rsidRPr="00561256">
        <w:rPr>
          <w:lang w:val="en-CA"/>
        </w:rPr>
        <w:t xml:space="preserve">. </w:t>
      </w:r>
      <w:r w:rsidRPr="004E5664">
        <w:t xml:space="preserve">Voir aussi </w:t>
      </w:r>
      <w:r w:rsidRPr="004E5664">
        <w:rPr>
          <w:i/>
          <w:iCs/>
        </w:rPr>
        <w:t>Québec (</w:t>
      </w:r>
      <w:r w:rsidR="00E13F0F">
        <w:rPr>
          <w:i/>
          <w:iCs/>
        </w:rPr>
        <w:t>PG</w:t>
      </w:r>
      <w:r w:rsidRPr="004E5664">
        <w:rPr>
          <w:i/>
          <w:iCs/>
        </w:rPr>
        <w:t>) c Lacombe</w:t>
      </w:r>
      <w:r w:rsidRPr="004E5664">
        <w:t xml:space="preserve">, 2010 CSC 38; </w:t>
      </w:r>
      <w:r w:rsidRPr="004E5664">
        <w:rPr>
          <w:i/>
          <w:iCs/>
        </w:rPr>
        <w:t>Québec (Procureur général) c</w:t>
      </w:r>
      <w:r w:rsidR="00322385">
        <w:rPr>
          <w:i/>
          <w:iCs/>
        </w:rPr>
        <w:t>.</w:t>
      </w:r>
      <w:r w:rsidRPr="004E5664">
        <w:rPr>
          <w:i/>
          <w:iCs/>
        </w:rPr>
        <w:t xml:space="preserve"> Canadian </w:t>
      </w:r>
      <w:proofErr w:type="spellStart"/>
      <w:r w:rsidRPr="004E5664">
        <w:rPr>
          <w:i/>
          <w:iCs/>
        </w:rPr>
        <w:t>Owners</w:t>
      </w:r>
      <w:proofErr w:type="spellEnd"/>
      <w:r w:rsidRPr="004E5664">
        <w:rPr>
          <w:i/>
          <w:iCs/>
        </w:rPr>
        <w:t xml:space="preserve"> and Pilots Association</w:t>
      </w:r>
      <w:r w:rsidRPr="004E5664">
        <w:t>, 20</w:t>
      </w:r>
      <w:r w:rsidR="00016622">
        <w:t>9</w:t>
      </w:r>
      <w:r w:rsidRPr="004E5664">
        <w:t>0 CSC 39.</w:t>
      </w:r>
    </w:p>
  </w:footnote>
  <w:footnote w:id="9">
    <w:p w:rsidRPr="004E5664" w:rsidR="00A741C8" w:rsidP="00A741C8" w:rsidRDefault="00A741C8" w14:paraId="16562A3A" w14:textId="040FFB8F">
      <w:pPr>
        <w:pStyle w:val="FootnoteText"/>
      </w:pPr>
      <w:r w:rsidRPr="004E5664">
        <w:rPr>
          <w:rStyle w:val="FootnoteReference"/>
        </w:rPr>
        <w:footnoteRef/>
      </w:r>
      <w:r w:rsidRPr="004E5664">
        <w:t xml:space="preserve"> </w:t>
      </w:r>
      <w:r w:rsidRPr="004E5664">
        <w:rPr>
          <w:i/>
          <w:iCs/>
        </w:rPr>
        <w:t xml:space="preserve">Munro c </w:t>
      </w:r>
      <w:r w:rsidR="00E13F0F">
        <w:rPr>
          <w:i/>
          <w:iCs/>
        </w:rPr>
        <w:t>National Capital Commission</w:t>
      </w:r>
      <w:r w:rsidRPr="004E5664">
        <w:t>, 1966</w:t>
      </w:r>
      <w:r w:rsidR="00E13F0F">
        <w:t xml:space="preserve"> CanLII 74 (CSC)</w:t>
      </w:r>
      <w:r w:rsidRPr="004E5664">
        <w:t>.</w:t>
      </w:r>
    </w:p>
  </w:footnote>
  <w:footnote w:id="10">
    <w:p w:rsidRPr="004E5664" w:rsidR="00A741C8" w:rsidP="00A741C8" w:rsidRDefault="00A741C8" w14:paraId="029EB2B0" w14:textId="107A4B8B">
      <w:pPr>
        <w:pStyle w:val="FootnoteText"/>
      </w:pPr>
      <w:r w:rsidRPr="004E5664">
        <w:rPr>
          <w:rStyle w:val="FootnoteReference"/>
        </w:rPr>
        <w:footnoteRef/>
      </w:r>
      <w:r w:rsidRPr="004E5664">
        <w:t xml:space="preserve"> </w:t>
      </w:r>
      <w:r w:rsidRPr="004E5664">
        <w:rPr>
          <w:i/>
          <w:iCs/>
        </w:rPr>
        <w:t xml:space="preserve">Ontario Hydro c Ontario </w:t>
      </w:r>
      <w:r w:rsidRPr="00A03288">
        <w:t>(</w:t>
      </w:r>
      <w:r w:rsidRPr="004E5664">
        <w:rPr>
          <w:i/>
          <w:iCs/>
        </w:rPr>
        <w:t>Commission des relations de travail)</w:t>
      </w:r>
      <w:r w:rsidRPr="00016622" w:rsidR="00016622">
        <w:rPr>
          <w:iCs/>
        </w:rPr>
        <w:t>,</w:t>
      </w:r>
      <w:r w:rsidRPr="004E5664">
        <w:t xml:space="preserve"> 1993</w:t>
      </w:r>
      <w:r w:rsidR="00E13F0F">
        <w:t xml:space="preserve"> CanLII 72 (CSC)</w:t>
      </w:r>
    </w:p>
  </w:footnote>
  <w:footnote w:id="11">
    <w:p w:rsidRPr="004E5664" w:rsidR="00A741C8" w:rsidP="00A741C8" w:rsidRDefault="00A741C8" w14:paraId="1D39C595" w14:textId="6C13B928">
      <w:pPr>
        <w:pStyle w:val="FootnoteText"/>
      </w:pPr>
      <w:r w:rsidRPr="00A25050">
        <w:rPr>
          <w:rStyle w:val="FootnoteReference"/>
        </w:rPr>
        <w:footnoteRef/>
      </w:r>
      <w:r w:rsidRPr="004E5664">
        <w:t xml:space="preserve"> </w:t>
      </w:r>
      <w:r w:rsidRPr="004E5664">
        <w:rPr>
          <w:i/>
          <w:iCs/>
        </w:rPr>
        <w:t>Jones c Procureur général du Nouveau-Brunswick</w:t>
      </w:r>
      <w:r w:rsidRPr="00A03288">
        <w:rPr>
          <w:i/>
          <w:iCs/>
        </w:rPr>
        <w:t>,</w:t>
      </w:r>
      <w:r w:rsidRPr="004E5664">
        <w:t xml:space="preserve"> [1975] 2 RCS 182 à la p</w:t>
      </w:r>
      <w:r w:rsidR="00322385">
        <w:t>.</w:t>
      </w:r>
      <w:r w:rsidRPr="004E5664">
        <w:t> 189.</w:t>
      </w:r>
    </w:p>
  </w:footnote>
  <w:footnote w:id="12">
    <w:p w:rsidRPr="004E5664" w:rsidR="00A741C8" w:rsidP="00A741C8" w:rsidRDefault="00A741C8" w14:paraId="4C5DAF16" w14:textId="64A2AE05">
      <w:pPr>
        <w:pStyle w:val="FootnoteText"/>
      </w:pPr>
      <w:r w:rsidRPr="004E5664">
        <w:rPr>
          <w:rStyle w:val="FootnoteReference"/>
        </w:rPr>
        <w:footnoteRef/>
      </w:r>
      <w:r w:rsidRPr="004E5664">
        <w:t xml:space="preserve"> Voir notamment </w:t>
      </w:r>
      <w:r w:rsidRPr="004E5664">
        <w:rPr>
          <w:i/>
          <w:iCs/>
        </w:rPr>
        <w:t>Renvoi ‒ Loi tarifiant la pollution</w:t>
      </w:r>
      <w:r w:rsidRPr="004E5664">
        <w:t xml:space="preserve">, </w:t>
      </w:r>
      <w:r w:rsidRPr="00A03288">
        <w:t>supra</w:t>
      </w:r>
      <w:r w:rsidRPr="004E5664">
        <w:t xml:space="preserve"> note </w:t>
      </w:r>
      <w:r w:rsidR="00791998">
        <w:t>2</w:t>
      </w:r>
      <w:r w:rsidRPr="00C6495E" w:rsidR="003B6CC8">
        <w:rPr>
          <w:rFonts w:cs="Times New Roman"/>
          <w:szCs w:val="24"/>
        </w:rPr>
        <w:t> </w:t>
      </w:r>
      <w:r w:rsidRPr="004E5664">
        <w:t>;</w:t>
      </w:r>
      <w:r w:rsidRPr="00D4564B">
        <w:t xml:space="preserve"> </w:t>
      </w:r>
      <w:r w:rsidRPr="004E5664">
        <w:rPr>
          <w:i/>
          <w:iCs/>
        </w:rPr>
        <w:t xml:space="preserve">R c Crown </w:t>
      </w:r>
      <w:proofErr w:type="spellStart"/>
      <w:r w:rsidRPr="004E5664">
        <w:rPr>
          <w:i/>
          <w:iCs/>
        </w:rPr>
        <w:t>Zellerbach</w:t>
      </w:r>
      <w:proofErr w:type="spellEnd"/>
      <w:r w:rsidRPr="004E5664">
        <w:rPr>
          <w:i/>
          <w:iCs/>
        </w:rPr>
        <w:t xml:space="preserve"> Canada Ltd</w:t>
      </w:r>
      <w:r w:rsidRPr="004E5664">
        <w:t>, [1988] 1 RCS 301 aux p</w:t>
      </w:r>
      <w:r w:rsidR="00E13F0F">
        <w:t>ara</w:t>
      </w:r>
      <w:r w:rsidRPr="004E5664">
        <w:t> </w:t>
      </w:r>
      <w:r w:rsidR="00E13F0F">
        <w:t>62</w:t>
      </w:r>
      <w:r w:rsidR="00064A5A">
        <w:t>-</w:t>
      </w:r>
      <w:r w:rsidR="00E13F0F">
        <w:t>66</w:t>
      </w:r>
      <w:r w:rsidRPr="004E5664">
        <w:t xml:space="preserve"> ; </w:t>
      </w:r>
      <w:r w:rsidRPr="004E5664">
        <w:rPr>
          <w:i/>
          <w:iCs/>
        </w:rPr>
        <w:t xml:space="preserve">Interprovincial </w:t>
      </w:r>
      <w:proofErr w:type="spellStart"/>
      <w:r w:rsidRPr="004E5664">
        <w:rPr>
          <w:i/>
          <w:iCs/>
        </w:rPr>
        <w:t>Co</w:t>
      </w:r>
      <w:r w:rsidRPr="004E5664">
        <w:rPr>
          <w:i/>
          <w:iCs/>
        </w:rPr>
        <w:noBreakHyphen/>
        <w:t>operatives</w:t>
      </w:r>
      <w:proofErr w:type="spellEnd"/>
      <w:r w:rsidRPr="004E5664">
        <w:rPr>
          <w:i/>
          <w:iCs/>
        </w:rPr>
        <w:t xml:space="preserve"> Ltd c</w:t>
      </w:r>
      <w:r w:rsidR="00322385">
        <w:rPr>
          <w:i/>
          <w:iCs/>
        </w:rPr>
        <w:t>.</w:t>
      </w:r>
      <w:r w:rsidRPr="004E5664">
        <w:rPr>
          <w:i/>
          <w:iCs/>
        </w:rPr>
        <w:t xml:space="preserve"> La Reine</w:t>
      </w:r>
      <w:r w:rsidRPr="004E5664">
        <w:t>, 197</w:t>
      </w:r>
      <w:r w:rsidR="00690F27">
        <w:t>5 CanLII 212 (CSC)</w:t>
      </w:r>
      <w:r w:rsidRPr="00C6495E" w:rsidR="00FB0582">
        <w:rPr>
          <w:rFonts w:cs="Times New Roman"/>
          <w:szCs w:val="24"/>
        </w:rPr>
        <w:t> </w:t>
      </w:r>
      <w:r w:rsidRPr="004E5664">
        <w:t xml:space="preserve">; </w:t>
      </w:r>
      <w:r w:rsidRPr="004E5664">
        <w:rPr>
          <w:i/>
          <w:iCs/>
        </w:rPr>
        <w:t xml:space="preserve">Reference Re: Offshore </w:t>
      </w:r>
      <w:proofErr w:type="spellStart"/>
      <w:r w:rsidRPr="004E5664">
        <w:rPr>
          <w:i/>
          <w:iCs/>
        </w:rPr>
        <w:t>Mineral</w:t>
      </w:r>
      <w:proofErr w:type="spellEnd"/>
      <w:r w:rsidRPr="004E5664">
        <w:rPr>
          <w:i/>
          <w:iCs/>
        </w:rPr>
        <w:t xml:space="preserve"> </w:t>
      </w:r>
      <w:proofErr w:type="spellStart"/>
      <w:r w:rsidRPr="004E5664">
        <w:rPr>
          <w:i/>
          <w:iCs/>
        </w:rPr>
        <w:t>Rights</w:t>
      </w:r>
      <w:proofErr w:type="spellEnd"/>
      <w:r w:rsidRPr="004E5664">
        <w:t>, 1967</w:t>
      </w:r>
      <w:r w:rsidR="00690F27">
        <w:t xml:space="preserve"> CanLII 71 (CSC)</w:t>
      </w:r>
    </w:p>
  </w:footnote>
  <w:footnote w:id="13">
    <w:p w:rsidRPr="004E5664" w:rsidR="00A741C8" w:rsidP="00A741C8" w:rsidRDefault="00A741C8" w14:paraId="4112B430" w14:textId="35B0352C">
      <w:pPr>
        <w:pStyle w:val="FootnoteText"/>
      </w:pPr>
      <w:r w:rsidRPr="004E5664">
        <w:rPr>
          <w:rStyle w:val="FootnoteReference"/>
        </w:rPr>
        <w:footnoteRef/>
      </w:r>
      <w:r w:rsidRPr="004E5664">
        <w:t xml:space="preserve"> </w:t>
      </w:r>
      <w:r w:rsidRPr="006330FC" w:rsidR="006330FC">
        <w:rPr>
          <w:rFonts w:cs="Times New Roman"/>
          <w:i/>
          <w:iCs/>
          <w:szCs w:val="24"/>
        </w:rPr>
        <w:t>Motard c Canada (PG)</w:t>
      </w:r>
      <w:r w:rsidRPr="006330FC" w:rsidR="006330FC">
        <w:rPr>
          <w:rFonts w:cs="Times New Roman"/>
          <w:szCs w:val="24"/>
        </w:rPr>
        <w:t>, 2016 QCCS 588, aux para 141–143, conf par 2019 QCCA 1826.</w:t>
      </w:r>
    </w:p>
  </w:footnote>
  <w:footnote w:id="14">
    <w:p w:rsidRPr="004E5664" w:rsidR="00952D33" w:rsidP="00952D33" w:rsidRDefault="00952D33" w14:paraId="079C1523" w14:textId="49974FFC">
      <w:pPr>
        <w:pStyle w:val="FootnoteText"/>
      </w:pPr>
      <w:r w:rsidRPr="004E5664">
        <w:rPr>
          <w:rStyle w:val="FootnoteReference"/>
        </w:rPr>
        <w:footnoteRef/>
      </w:r>
      <w:r w:rsidRPr="004E5664">
        <w:t> </w:t>
      </w:r>
      <w:r w:rsidRPr="004E5664">
        <w:rPr>
          <w:i/>
          <w:iCs/>
        </w:rPr>
        <w:t>Renvoi ‒ Loi tarifiant la pollution</w:t>
      </w:r>
      <w:r w:rsidRPr="004E5664">
        <w:t xml:space="preserve">, </w:t>
      </w:r>
      <w:r w:rsidRPr="004E5664">
        <w:rPr>
          <w:i/>
        </w:rPr>
        <w:t>supra</w:t>
      </w:r>
      <w:r w:rsidRPr="004E5664">
        <w:t xml:space="preserve"> note </w:t>
      </w:r>
      <w:r w:rsidR="004454BB">
        <w:t>3</w:t>
      </w:r>
      <w:r w:rsidRPr="004E5664">
        <w:t xml:space="preserve"> au para 120, 122 </w:t>
      </w:r>
      <w:r w:rsidR="00B9656B">
        <w:t xml:space="preserve">et </w:t>
      </w:r>
      <w:r w:rsidRPr="004E5664">
        <w:t>124.</w:t>
      </w:r>
    </w:p>
  </w:footnote>
  <w:footnote w:id="15">
    <w:p w:rsidRPr="004E5664" w:rsidR="00952D33" w:rsidP="00952D33" w:rsidRDefault="00952D33" w14:paraId="09E3943E" w14:textId="24F405EF">
      <w:pPr>
        <w:pStyle w:val="FootnoteText"/>
      </w:pPr>
      <w:r w:rsidRPr="004E5664">
        <w:rPr>
          <w:rStyle w:val="FootnoteReference"/>
        </w:rPr>
        <w:footnoteRef/>
      </w:r>
      <w:r w:rsidRPr="00565D48">
        <w:rPr>
          <w:lang w:val="en-CA"/>
        </w:rPr>
        <w:t xml:space="preserve"> </w:t>
      </w:r>
      <w:r w:rsidRPr="00565D48">
        <w:rPr>
          <w:i/>
          <w:iCs/>
          <w:lang w:val="en-CA"/>
        </w:rPr>
        <w:t>Ibid</w:t>
      </w:r>
      <w:r w:rsidRPr="00565D48" w:rsidR="00791998">
        <w:rPr>
          <w:lang w:val="en-CA"/>
        </w:rPr>
        <w:t>.</w:t>
      </w:r>
      <w:r w:rsidRPr="00565D48">
        <w:rPr>
          <w:lang w:val="en-CA"/>
        </w:rPr>
        <w:t xml:space="preserve"> au para 126. </w:t>
      </w:r>
      <w:r w:rsidRPr="00690F27">
        <w:rPr>
          <w:lang w:val="en-CA"/>
        </w:rPr>
        <w:t xml:space="preserve">Au </w:t>
      </w:r>
      <w:proofErr w:type="spellStart"/>
      <w:r w:rsidRPr="00690F27">
        <w:rPr>
          <w:lang w:val="en-CA"/>
        </w:rPr>
        <w:t>sujet</w:t>
      </w:r>
      <w:proofErr w:type="spellEnd"/>
      <w:r w:rsidRPr="00690F27">
        <w:rPr>
          <w:lang w:val="en-CA"/>
        </w:rPr>
        <w:t xml:space="preserve"> du </w:t>
      </w:r>
      <w:proofErr w:type="spellStart"/>
      <w:r w:rsidRPr="00690F27">
        <w:rPr>
          <w:lang w:val="en-CA"/>
        </w:rPr>
        <w:t>fédéralisme</w:t>
      </w:r>
      <w:proofErr w:type="spellEnd"/>
      <w:r w:rsidRPr="00690F27">
        <w:rPr>
          <w:lang w:val="en-CA"/>
        </w:rPr>
        <w:t xml:space="preserve"> </w:t>
      </w:r>
      <w:proofErr w:type="spellStart"/>
      <w:r w:rsidRPr="00690F27">
        <w:rPr>
          <w:lang w:val="en-CA"/>
        </w:rPr>
        <w:t>coopératif</w:t>
      </w:r>
      <w:proofErr w:type="spellEnd"/>
      <w:r w:rsidRPr="00690F27">
        <w:rPr>
          <w:lang w:val="en-CA"/>
        </w:rPr>
        <w:t xml:space="preserve">, </w:t>
      </w:r>
      <w:proofErr w:type="spellStart"/>
      <w:r w:rsidRPr="00690F27">
        <w:rPr>
          <w:lang w:val="en-CA"/>
        </w:rPr>
        <w:t>voir</w:t>
      </w:r>
      <w:proofErr w:type="spellEnd"/>
      <w:r w:rsidRPr="00690F27">
        <w:rPr>
          <w:lang w:val="en-CA"/>
        </w:rPr>
        <w:t xml:space="preserve"> </w:t>
      </w:r>
      <w:proofErr w:type="spellStart"/>
      <w:r w:rsidRPr="00690F27">
        <w:rPr>
          <w:lang w:val="en-CA"/>
        </w:rPr>
        <w:t>notamment</w:t>
      </w:r>
      <w:proofErr w:type="spellEnd"/>
      <w:r w:rsidRPr="00690F27">
        <w:rPr>
          <w:lang w:val="en-CA"/>
        </w:rPr>
        <w:t xml:space="preserve"> Mark S Harding </w:t>
      </w:r>
      <w:r w:rsidRPr="00690F27" w:rsidR="00322385">
        <w:rPr>
          <w:lang w:val="en-CA"/>
        </w:rPr>
        <w:t>&amp;</w:t>
      </w:r>
      <w:r w:rsidRPr="00690F27">
        <w:rPr>
          <w:lang w:val="en-CA"/>
        </w:rPr>
        <w:t xml:space="preserve"> Dave Snow, « From the Ivory Tower to the Courtroom: Cooperative Federalism in the Supreme Court of Canada » (2023) 53:1 Publi</w:t>
      </w:r>
      <w:r w:rsidR="007F501A">
        <w:rPr>
          <w:lang w:val="en-CA"/>
        </w:rPr>
        <w:t>u</w:t>
      </w:r>
      <w:r w:rsidRPr="00690F27">
        <w:rPr>
          <w:lang w:val="en-CA"/>
        </w:rPr>
        <w:t>s J</w:t>
      </w:r>
      <w:r w:rsidRPr="00690F27" w:rsidR="00322385">
        <w:rPr>
          <w:lang w:val="en-CA"/>
        </w:rPr>
        <w:t>.</w:t>
      </w:r>
      <w:r w:rsidRPr="00690F27">
        <w:rPr>
          <w:lang w:val="en-CA"/>
        </w:rPr>
        <w:t xml:space="preserve"> Fed </w:t>
      </w:r>
      <w:proofErr w:type="gramStart"/>
      <w:r w:rsidRPr="00690F27">
        <w:rPr>
          <w:lang w:val="en-CA"/>
        </w:rPr>
        <w:t>106 ;</w:t>
      </w:r>
      <w:proofErr w:type="gramEnd"/>
      <w:r w:rsidRPr="00690F27">
        <w:rPr>
          <w:lang w:val="en-CA"/>
        </w:rPr>
        <w:t xml:space="preserve"> Jean-François Gaudreault-</w:t>
      </w:r>
      <w:proofErr w:type="spellStart"/>
      <w:r w:rsidRPr="00690F27">
        <w:rPr>
          <w:lang w:val="en-CA"/>
        </w:rPr>
        <w:t>DesBiens</w:t>
      </w:r>
      <w:proofErr w:type="spellEnd"/>
      <w:r w:rsidRPr="00690F27">
        <w:rPr>
          <w:lang w:val="en-CA"/>
        </w:rPr>
        <w:t xml:space="preserve"> et Johanne Poirier, « From Dualism to Cooperative Federalism and </w:t>
      </w:r>
      <w:proofErr w:type="gramStart"/>
      <w:r w:rsidRPr="00690F27">
        <w:rPr>
          <w:lang w:val="en-CA"/>
        </w:rPr>
        <w:t>Back</w:t>
      </w:r>
      <w:r w:rsidRPr="00690F27" w:rsidR="00322385">
        <w:rPr>
          <w:lang w:val="en-CA"/>
        </w:rPr>
        <w:t> </w:t>
      </w:r>
      <w:r w:rsidRPr="00690F27">
        <w:rPr>
          <w:lang w:val="en-CA"/>
        </w:rPr>
        <w:t>?</w:t>
      </w:r>
      <w:proofErr w:type="gramEnd"/>
      <w:r w:rsidRPr="00690F27">
        <w:rPr>
          <w:lang w:val="en-CA"/>
        </w:rPr>
        <w:t xml:space="preserve"> </w:t>
      </w:r>
      <w:r w:rsidRPr="00561256">
        <w:rPr>
          <w:lang w:val="en-CA"/>
        </w:rPr>
        <w:t>Evolving and Competing Conceptions of Canadian Federalism »</w:t>
      </w:r>
      <w:r w:rsidR="00791998">
        <w:rPr>
          <w:lang w:val="en-CA"/>
        </w:rPr>
        <w:t>,</w:t>
      </w:r>
      <w:r w:rsidRPr="00561256">
        <w:rPr>
          <w:lang w:val="en-CA"/>
        </w:rPr>
        <w:t xml:space="preserve"> dans Peter Oliver, Patrick Macklen et Nathalie Des </w:t>
      </w:r>
      <w:proofErr w:type="spellStart"/>
      <w:r w:rsidRPr="00561256">
        <w:rPr>
          <w:lang w:val="en-CA"/>
        </w:rPr>
        <w:t>Rosiers</w:t>
      </w:r>
      <w:proofErr w:type="spellEnd"/>
      <w:r w:rsidRPr="00561256">
        <w:rPr>
          <w:lang w:val="en-CA"/>
        </w:rPr>
        <w:t xml:space="preserve">, </w:t>
      </w:r>
      <w:r w:rsidR="00064A5A">
        <w:rPr>
          <w:lang w:val="en-CA"/>
        </w:rPr>
        <w:t>eds</w:t>
      </w:r>
      <w:r w:rsidRPr="00561256">
        <w:rPr>
          <w:lang w:val="en-CA"/>
        </w:rPr>
        <w:t xml:space="preserve">, </w:t>
      </w:r>
      <w:r w:rsidRPr="00561256">
        <w:rPr>
          <w:i/>
          <w:iCs/>
          <w:lang w:val="en-CA"/>
        </w:rPr>
        <w:t>The Oxford Handbook of the Canadian Constitution</w:t>
      </w:r>
      <w:r w:rsidRPr="00561256">
        <w:rPr>
          <w:lang w:val="en-CA"/>
        </w:rPr>
        <w:t xml:space="preserve">, Oxford (R-U), Oxford University Press, 2017, 391. </w:t>
      </w:r>
      <w:r w:rsidRPr="004E5664">
        <w:t>Voir aussi Henri Brun, Guy Tremblay</w:t>
      </w:r>
      <w:r w:rsidR="00064A5A">
        <w:t>,</w:t>
      </w:r>
      <w:r w:rsidRPr="004E5664">
        <w:t xml:space="preserve"> et Eugénie Brouillet, </w:t>
      </w:r>
      <w:r w:rsidRPr="004E5664">
        <w:rPr>
          <w:i/>
          <w:iCs/>
        </w:rPr>
        <w:t>Droit constitutionnel</w:t>
      </w:r>
      <w:r w:rsidRPr="004E5664">
        <w:t>, 6</w:t>
      </w:r>
      <w:r w:rsidRPr="00A03288">
        <w:t>e</w:t>
      </w:r>
      <w:r w:rsidRPr="004E5664">
        <w:t xml:space="preserve"> éd, Cowansville (Q</w:t>
      </w:r>
      <w:r w:rsidR="00322385">
        <w:t>uébec</w:t>
      </w:r>
      <w:r w:rsidRPr="004E5664">
        <w:t>), Yvon Blais, 2014.</w:t>
      </w:r>
    </w:p>
  </w:footnote>
  <w:footnote w:id="16">
    <w:p w:rsidRPr="004E5664" w:rsidR="00952D33" w:rsidP="00952D33" w:rsidRDefault="00952D33" w14:paraId="7ABACEA9" w14:textId="502DC443">
      <w:pPr>
        <w:pStyle w:val="FootnoteText"/>
      </w:pPr>
      <w:r w:rsidRPr="004E5664">
        <w:rPr>
          <w:rStyle w:val="FootnoteReference"/>
        </w:rPr>
        <w:footnoteRef/>
      </w:r>
      <w:r w:rsidRPr="004E5664">
        <w:t xml:space="preserve"> </w:t>
      </w:r>
      <w:r w:rsidR="000230FF">
        <w:t xml:space="preserve">Voir </w:t>
      </w:r>
      <w:r w:rsidRPr="004E5664">
        <w:rPr>
          <w:i/>
          <w:iCs/>
        </w:rPr>
        <w:t>Canada (AG) v Ontario (AG</w:t>
      </w:r>
      <w:r w:rsidRPr="00A03288">
        <w:t>)</w:t>
      </w:r>
      <w:r w:rsidRPr="00A03288">
        <w:rPr>
          <w:i/>
        </w:rPr>
        <w:t>,</w:t>
      </w:r>
      <w:r w:rsidRPr="004E5664">
        <w:t xml:space="preserve"> [1937] UKPC 6 (« </w:t>
      </w:r>
      <w:r w:rsidR="00791998">
        <w:t>B</w:t>
      </w:r>
      <w:r w:rsidRPr="004E5664">
        <w:t xml:space="preserve">ien que le navire </w:t>
      </w:r>
      <w:proofErr w:type="gramStart"/>
      <w:r w:rsidRPr="004E5664">
        <w:t>qu’est</w:t>
      </w:r>
      <w:proofErr w:type="gramEnd"/>
      <w:r w:rsidRPr="004E5664">
        <w:t xml:space="preserve"> l’État navigue aujourd’hui vers de plus grandes aventures et vers des eaux étrangères, il conserve les </w:t>
      </w:r>
      <w:r w:rsidRPr="004E5664">
        <w:rPr>
          <w:i/>
          <w:iCs/>
        </w:rPr>
        <w:t>compartiments étanches</w:t>
      </w:r>
      <w:r w:rsidRPr="004E5664">
        <w:t xml:space="preserve"> qui constituent une partie essentielle de sa structure d’origine » [notre traduction; nos italiques] à la p 10, Lord </w:t>
      </w:r>
      <w:proofErr w:type="spellStart"/>
      <w:r w:rsidRPr="004E5664">
        <w:t>Atkin</w:t>
      </w:r>
      <w:proofErr w:type="spellEnd"/>
      <w:r w:rsidRPr="004E5664">
        <w:t>.</w:t>
      </w:r>
    </w:p>
  </w:footnote>
  <w:footnote w:id="17">
    <w:p w:rsidRPr="004E5664" w:rsidR="00952D33" w:rsidP="00952D33" w:rsidRDefault="00952D33" w14:paraId="6B9715D0" w14:textId="358AC455">
      <w:pPr>
        <w:pStyle w:val="FootnoteText"/>
      </w:pPr>
      <w:r w:rsidRPr="004E5664">
        <w:rPr>
          <w:rStyle w:val="FootnoteReference"/>
        </w:rPr>
        <w:footnoteRef/>
      </w:r>
      <w:r w:rsidRPr="004E5664">
        <w:t xml:space="preserve"> À l’époque où le </w:t>
      </w:r>
      <w:r w:rsidR="00064A5A">
        <w:t>c</w:t>
      </w:r>
      <w:r w:rsidRPr="004E5664">
        <w:t xml:space="preserve">omité judiciaire du </w:t>
      </w:r>
      <w:r w:rsidR="00064A5A">
        <w:t>c</w:t>
      </w:r>
      <w:r w:rsidRPr="004E5664">
        <w:t xml:space="preserve">onseil privé à Londres était le tribunal de dernier ressort du pays, les lois provinciales étaient considérées comme invalides si elles visaient « uniquement les fins précisées à l’article 92 [de la </w:t>
      </w:r>
      <w:r w:rsidRPr="004E5664">
        <w:rPr>
          <w:i/>
          <w:iCs/>
        </w:rPr>
        <w:t>Loi constitutionnelle de 1867</w:t>
      </w:r>
      <w:r w:rsidRPr="004E5664">
        <w:t xml:space="preserve"> </w:t>
      </w:r>
      <w:r w:rsidRPr="004E5664">
        <w:rPr>
          <w:i/>
          <w:iCs/>
        </w:rPr>
        <w:t>supra</w:t>
      </w:r>
      <w:r w:rsidRPr="004E5664">
        <w:t xml:space="preserve"> note </w:t>
      </w:r>
      <w:r w:rsidR="00791998">
        <w:t>1</w:t>
      </w:r>
      <w:r w:rsidRPr="004E5664">
        <w:t>] » (</w:t>
      </w:r>
      <w:r w:rsidRPr="004E5664">
        <w:rPr>
          <w:i/>
          <w:iCs/>
        </w:rPr>
        <w:t xml:space="preserve">Great West </w:t>
      </w:r>
      <w:proofErr w:type="spellStart"/>
      <w:r w:rsidRPr="004E5664">
        <w:rPr>
          <w:i/>
          <w:iCs/>
        </w:rPr>
        <w:t>Saddlery</w:t>
      </w:r>
      <w:proofErr w:type="spellEnd"/>
      <w:r w:rsidRPr="004E5664">
        <w:rPr>
          <w:i/>
          <w:iCs/>
        </w:rPr>
        <w:t xml:space="preserve"> Co</w:t>
      </w:r>
      <w:r w:rsidR="00643F54">
        <w:rPr>
          <w:i/>
          <w:iCs/>
        </w:rPr>
        <w:t xml:space="preserve"> </w:t>
      </w:r>
      <w:r w:rsidRPr="00690F27">
        <w:t>v</w:t>
      </w:r>
      <w:r w:rsidRPr="00690F27" w:rsidR="0009078D">
        <w:t>.</w:t>
      </w:r>
      <w:r w:rsidRPr="004E5664">
        <w:rPr>
          <w:i/>
          <w:iCs/>
        </w:rPr>
        <w:t xml:space="preserve"> </w:t>
      </w:r>
      <w:r w:rsidR="00643F54">
        <w:rPr>
          <w:i/>
          <w:iCs/>
        </w:rPr>
        <w:t>R</w:t>
      </w:r>
      <w:r w:rsidRPr="004E5664">
        <w:t>, [1921] 58 D</w:t>
      </w:r>
      <w:r w:rsidR="00791998">
        <w:t>.</w:t>
      </w:r>
      <w:r w:rsidRPr="004E5664">
        <w:t>L</w:t>
      </w:r>
      <w:r w:rsidR="00791998">
        <w:t>.</w:t>
      </w:r>
      <w:r w:rsidRPr="004E5664">
        <w:t>R</w:t>
      </w:r>
      <w:r w:rsidR="00791998">
        <w:t>.</w:t>
      </w:r>
      <w:r w:rsidRPr="004E5664">
        <w:t xml:space="preserve"> 1 à la p 26, 2 AC 91 (JCPC)). </w:t>
      </w:r>
    </w:p>
  </w:footnote>
  <w:footnote w:id="18">
    <w:p w:rsidRPr="004E5664" w:rsidR="00952D33" w:rsidP="00952D33" w:rsidRDefault="00952D33" w14:paraId="1E2CC679" w14:textId="2F596DC0">
      <w:pPr>
        <w:pStyle w:val="FootnoteText"/>
      </w:pPr>
      <w:r w:rsidRPr="004E5664">
        <w:rPr>
          <w:rStyle w:val="FootnoteReference"/>
        </w:rPr>
        <w:footnoteRef/>
      </w:r>
      <w:r w:rsidRPr="004E5664">
        <w:t xml:space="preserve"> Voir Brun, Tremblay et Brouillet, </w:t>
      </w:r>
      <w:r w:rsidRPr="004E5664">
        <w:rPr>
          <w:i/>
          <w:iCs/>
        </w:rPr>
        <w:t xml:space="preserve">supra </w:t>
      </w:r>
      <w:r w:rsidRPr="004E5664">
        <w:t>note </w:t>
      </w:r>
      <w:r w:rsidR="00791998">
        <w:t>15</w:t>
      </w:r>
      <w:r w:rsidRPr="004E5664">
        <w:t>.</w:t>
      </w:r>
    </w:p>
  </w:footnote>
  <w:footnote w:id="19">
    <w:p w:rsidRPr="006948DE" w:rsidR="00952D33" w:rsidP="00952D33" w:rsidRDefault="00952D33" w14:paraId="36C6D7D0" w14:textId="4172808B">
      <w:pPr>
        <w:pStyle w:val="FootnoteText"/>
        <w:rPr>
          <w:lang w:val="en-CA"/>
        </w:rPr>
      </w:pPr>
      <w:r w:rsidRPr="004E5664">
        <w:rPr>
          <w:rStyle w:val="FootnoteReference"/>
        </w:rPr>
        <w:footnoteRef/>
      </w:r>
      <w:r w:rsidRPr="006948DE">
        <w:rPr>
          <w:lang w:val="en-CA"/>
        </w:rPr>
        <w:t xml:space="preserve"> Voir </w:t>
      </w:r>
      <w:r w:rsidRPr="006948DE" w:rsidR="006948DE">
        <w:rPr>
          <w:i/>
          <w:iCs/>
          <w:lang w:val="en-CA"/>
        </w:rPr>
        <w:t>Ontario (AG)</w:t>
      </w:r>
      <w:r w:rsidRPr="006948DE">
        <w:rPr>
          <w:i/>
          <w:iCs/>
          <w:lang w:val="en-CA"/>
        </w:rPr>
        <w:t xml:space="preserve"> </w:t>
      </w:r>
      <w:r w:rsidRPr="006948DE" w:rsidR="006948DE">
        <w:rPr>
          <w:i/>
          <w:iCs/>
          <w:lang w:val="en-CA"/>
        </w:rPr>
        <w:t>v</w:t>
      </w:r>
      <w:r w:rsidRPr="006948DE" w:rsidR="00791998">
        <w:rPr>
          <w:i/>
          <w:iCs/>
          <w:lang w:val="en-CA"/>
        </w:rPr>
        <w:t>.</w:t>
      </w:r>
      <w:r w:rsidRPr="006948DE">
        <w:rPr>
          <w:i/>
          <w:iCs/>
          <w:lang w:val="en-CA"/>
        </w:rPr>
        <w:t xml:space="preserve"> Canada Temperance Federation</w:t>
      </w:r>
      <w:r w:rsidRPr="006948DE">
        <w:rPr>
          <w:lang w:val="en-CA"/>
        </w:rPr>
        <w:t>, [1946] UKPC 2</w:t>
      </w:r>
      <w:r w:rsidRPr="006948DE" w:rsidR="0009078D">
        <w:rPr>
          <w:lang w:val="en-CA"/>
        </w:rPr>
        <w:t xml:space="preserve"> (JCPC</w:t>
      </w:r>
      <w:proofErr w:type="gramStart"/>
      <w:r w:rsidRPr="006948DE" w:rsidR="0009078D">
        <w:rPr>
          <w:lang w:val="en-CA"/>
        </w:rPr>
        <w:t>)</w:t>
      </w:r>
      <w:r w:rsidRPr="006948DE">
        <w:rPr>
          <w:lang w:val="en-CA"/>
        </w:rPr>
        <w:t>.</w:t>
      </w:r>
      <w:r w:rsidRPr="006948DE" w:rsidR="00791998">
        <w:rPr>
          <w:lang w:val="en-CA"/>
        </w:rPr>
        <w:t>.</w:t>
      </w:r>
      <w:proofErr w:type="gramEnd"/>
    </w:p>
  </w:footnote>
  <w:footnote w:id="20">
    <w:p w:rsidRPr="004E5664" w:rsidR="00952D33" w:rsidP="00952D33" w:rsidRDefault="00952D33" w14:paraId="055227D3" w14:textId="7E8180E7">
      <w:pPr>
        <w:pStyle w:val="FootnoteText"/>
      </w:pPr>
      <w:r w:rsidRPr="004E5664">
        <w:rPr>
          <w:rStyle w:val="FootnoteReference"/>
        </w:rPr>
        <w:footnoteRef/>
      </w:r>
      <w:r w:rsidRPr="004E5664">
        <w:t xml:space="preserve"> Voir les compétences provinciales énumérées à l’article 92 de la </w:t>
      </w:r>
      <w:r w:rsidRPr="004E5664">
        <w:rPr>
          <w:i/>
          <w:iCs/>
        </w:rPr>
        <w:t>Loi constitutionnelle de 186</w:t>
      </w:r>
      <w:r w:rsidR="0009078D">
        <w:rPr>
          <w:i/>
          <w:iCs/>
        </w:rPr>
        <w:t>9</w:t>
      </w:r>
      <w:r w:rsidRPr="004E5664">
        <w:t xml:space="preserve">, </w:t>
      </w:r>
      <w:r w:rsidRPr="004E5664">
        <w:rPr>
          <w:i/>
          <w:iCs/>
        </w:rPr>
        <w:t>supra</w:t>
      </w:r>
      <w:r w:rsidRPr="004E5664">
        <w:t xml:space="preserve"> note </w:t>
      </w:r>
      <w:r w:rsidR="00791998">
        <w:t>1</w:t>
      </w:r>
    </w:p>
  </w:footnote>
  <w:footnote w:id="21">
    <w:p w:rsidRPr="004E5664" w:rsidR="00952D33" w:rsidP="00952D33" w:rsidRDefault="00952D33" w14:paraId="3BCE744A" w14:textId="7D51FBD0">
      <w:pPr>
        <w:pStyle w:val="FootnoteText"/>
      </w:pPr>
      <w:r w:rsidRPr="004E5664">
        <w:rPr>
          <w:rStyle w:val="FootnoteReference"/>
        </w:rPr>
        <w:footnoteRef/>
      </w:r>
      <w:r w:rsidRPr="004E5664">
        <w:t xml:space="preserve"> Comme l’a affirmé l</w:t>
      </w:r>
      <w:r w:rsidR="00322385">
        <w:t>a</w:t>
      </w:r>
      <w:r w:rsidRPr="004E5664">
        <w:t xml:space="preserve"> juge en chef </w:t>
      </w:r>
      <w:r w:rsidR="00ED7D53">
        <w:t xml:space="preserve">Richard </w:t>
      </w:r>
      <w:r w:rsidRPr="004E5664">
        <w:t xml:space="preserve">Wagner au nom de la majorité, « une matière </w:t>
      </w:r>
      <w:r w:rsidR="00322385">
        <w:t>"</w:t>
      </w:r>
      <w:r w:rsidRPr="004E5664">
        <w:t>dépourvue de spécificité</w:t>
      </w:r>
      <w:r w:rsidR="00322385">
        <w:t>"</w:t>
      </w:r>
      <w:r w:rsidRPr="004E5664">
        <w:t xml:space="preserve"> et qui ne connaît pas de limites n’est pas acceptable comme matière d’intérêt national » (</w:t>
      </w:r>
      <w:r w:rsidRPr="004E5664">
        <w:rPr>
          <w:i/>
          <w:iCs/>
        </w:rPr>
        <w:t>Renvoi ‒ Loi tarifiant la pollution</w:t>
      </w:r>
      <w:r w:rsidRPr="004E5664">
        <w:t xml:space="preserve">, </w:t>
      </w:r>
      <w:r w:rsidRPr="004E5664">
        <w:rPr>
          <w:i/>
          <w:iCs/>
        </w:rPr>
        <w:t>supra</w:t>
      </w:r>
      <w:r w:rsidRPr="004E5664">
        <w:t xml:space="preserve"> note </w:t>
      </w:r>
      <w:r w:rsidR="00791998">
        <w:t>2</w:t>
      </w:r>
      <w:r w:rsidRPr="004E5664">
        <w:t xml:space="preserve"> au para 147 citant </w:t>
      </w:r>
      <w:r w:rsidRPr="004E5664">
        <w:rPr>
          <w:i/>
          <w:iCs/>
        </w:rPr>
        <w:t>Renvoi ‒ Loi anti-inflation</w:t>
      </w:r>
      <w:r w:rsidRPr="004E5664">
        <w:t xml:space="preserve">, </w:t>
      </w:r>
      <w:r w:rsidRPr="00A03288">
        <w:t>supra</w:t>
      </w:r>
      <w:r w:rsidRPr="004E5664">
        <w:t xml:space="preserve"> note </w:t>
      </w:r>
      <w:r w:rsidR="00791998">
        <w:t>2</w:t>
      </w:r>
      <w:r w:rsidRPr="004E5664">
        <w:t xml:space="preserve"> à la p 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513"/>
    <w:multiLevelType w:val="multilevel"/>
    <w:tmpl w:val="815E8F9C"/>
    <w:lvl w:ilvl="0">
      <w:start w:val="1"/>
      <w:numFmt w:val="bullet"/>
      <w:pStyle w:val="BulletList4"/>
      <w:lvlText w:val=""/>
      <w:lvlJc w:val="left"/>
      <w:pPr>
        <w:ind w:left="1276" w:hanging="284"/>
      </w:pPr>
      <w:rPr>
        <w:rFonts w:hint="default" w:ascii="Symbol" w:hAnsi="Symbol"/>
        <w:lang w:val="fr-CA"/>
      </w:rPr>
    </w:lvl>
    <w:lvl w:ilvl="1">
      <w:start w:val="1"/>
      <w:numFmt w:val="bullet"/>
      <w:lvlText w:val="o"/>
      <w:lvlJc w:val="left"/>
      <w:pPr>
        <w:tabs>
          <w:tab w:val="num" w:pos="1843"/>
        </w:tabs>
        <w:ind w:left="1843" w:hanging="284"/>
      </w:pPr>
      <w:rPr>
        <w:rFonts w:hint="default" w:ascii="Courier New" w:hAnsi="Courier New"/>
      </w:rPr>
    </w:lvl>
    <w:lvl w:ilvl="2">
      <w:start w:val="1"/>
      <w:numFmt w:val="bullet"/>
      <w:lvlText w:val=""/>
      <w:lvlJc w:val="left"/>
      <w:pPr>
        <w:tabs>
          <w:tab w:val="num" w:pos="19845"/>
        </w:tabs>
        <w:ind w:left="2410" w:hanging="284"/>
      </w:pPr>
      <w:rPr>
        <w:rFonts w:hint="default" w:ascii="Wingdings" w:hAnsi="Wingdings"/>
      </w:rPr>
    </w:lvl>
    <w:lvl w:ilvl="3">
      <w:start w:val="1"/>
      <w:numFmt w:val="bullet"/>
      <w:lvlText w:val=""/>
      <w:lvlJc w:val="left"/>
      <w:pPr>
        <w:ind w:left="2977" w:hanging="284"/>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E755377"/>
    <w:multiLevelType w:val="multilevel"/>
    <w:tmpl w:val="483A4DD0"/>
    <w:lvl w:ilvl="0">
      <w:start w:val="1"/>
      <w:numFmt w:val="decimal"/>
      <w:pStyle w:val="NumberedList1"/>
      <w:lvlText w:val="(%1)"/>
      <w:lvlJc w:val="left"/>
      <w:pPr>
        <w:ind w:left="567" w:hanging="425"/>
      </w:pPr>
      <w:rPr>
        <w:rFonts w:hint="default"/>
        <w:b w:val="0"/>
        <w:i w:val="0"/>
      </w:rPr>
    </w:lvl>
    <w:lvl w:ilvl="1">
      <w:start w:val="1"/>
      <w:numFmt w:val="lowerLetter"/>
      <w:lvlText w:val="(%2)"/>
      <w:lvlJc w:val="left"/>
      <w:pPr>
        <w:ind w:left="1134" w:hanging="425"/>
      </w:pPr>
      <w:rPr>
        <w:rFonts w:hint="default"/>
      </w:rPr>
    </w:lvl>
    <w:lvl w:ilvl="2">
      <w:start w:val="1"/>
      <w:numFmt w:val="lowerRoman"/>
      <w:lvlText w:val="(%3)"/>
      <w:lvlJc w:val="left"/>
      <w:pPr>
        <w:tabs>
          <w:tab w:val="num" w:pos="1276"/>
        </w:tabs>
        <w:ind w:left="1701"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521CFF"/>
    <w:multiLevelType w:val="multilevel"/>
    <w:tmpl w:val="F966448E"/>
    <w:lvl w:ilvl="0">
      <w:start w:val="1"/>
      <w:numFmt w:val="decimal"/>
      <w:pStyle w:val="NumberedList2"/>
      <w:lvlText w:val="(%1)"/>
      <w:lvlJc w:val="left"/>
      <w:pPr>
        <w:tabs>
          <w:tab w:val="num" w:pos="425"/>
        </w:tabs>
        <w:ind w:left="851" w:hanging="426"/>
      </w:pPr>
      <w:rPr>
        <w:rFonts w:hint="default"/>
        <w:b w:val="0"/>
        <w:i w:val="0"/>
      </w:rPr>
    </w:lvl>
    <w:lvl w:ilvl="1">
      <w:start w:val="1"/>
      <w:numFmt w:val="lowerLetter"/>
      <w:lvlText w:val="(%2)"/>
      <w:lvlJc w:val="left"/>
      <w:pPr>
        <w:tabs>
          <w:tab w:val="num" w:pos="1134"/>
        </w:tabs>
        <w:ind w:left="1418" w:hanging="426"/>
      </w:pPr>
      <w:rPr>
        <w:rFonts w:hint="default"/>
      </w:rPr>
    </w:lvl>
    <w:lvl w:ilvl="2">
      <w:start w:val="1"/>
      <w:numFmt w:val="lowerRoman"/>
      <w:lvlText w:val="(%3)"/>
      <w:lvlJc w:val="left"/>
      <w:pPr>
        <w:ind w:left="1985"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5444F1"/>
    <w:multiLevelType w:val="multilevel"/>
    <w:tmpl w:val="36EEBC16"/>
    <w:lvl w:ilvl="0">
      <w:start w:val="1"/>
      <w:numFmt w:val="bullet"/>
      <w:pStyle w:val="BulletList1"/>
      <w:lvlText w:val=""/>
      <w:lvlJc w:val="left"/>
      <w:pPr>
        <w:ind w:left="425" w:hanging="283"/>
      </w:pPr>
      <w:rPr>
        <w:rFonts w:hint="default" w:ascii="Symbol" w:hAnsi="Symbol"/>
        <w:color w:val="auto"/>
      </w:rPr>
    </w:lvl>
    <w:lvl w:ilvl="1">
      <w:start w:val="1"/>
      <w:numFmt w:val="bullet"/>
      <w:lvlText w:val="o"/>
      <w:lvlJc w:val="left"/>
      <w:pPr>
        <w:ind w:left="992" w:hanging="283"/>
      </w:pPr>
      <w:rPr>
        <w:rFonts w:hint="default" w:ascii="Courier New" w:hAnsi="Courier New"/>
      </w:rPr>
    </w:lvl>
    <w:lvl w:ilvl="2">
      <w:start w:val="1"/>
      <w:numFmt w:val="bullet"/>
      <w:lvlText w:val=""/>
      <w:lvlJc w:val="left"/>
      <w:pPr>
        <w:ind w:left="1559" w:hanging="283"/>
      </w:pPr>
      <w:rPr>
        <w:rFonts w:hint="default" w:ascii="Wingdings" w:hAnsi="Wingdings"/>
      </w:rPr>
    </w:lvl>
    <w:lvl w:ilvl="3">
      <w:start w:val="1"/>
      <w:numFmt w:val="bullet"/>
      <w:lvlText w:val=""/>
      <w:lvlJc w:val="left"/>
      <w:pPr>
        <w:ind w:left="2126" w:hanging="283"/>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278716EF"/>
    <w:multiLevelType w:val="multilevel"/>
    <w:tmpl w:val="CBD2CC04"/>
    <w:lvl w:ilvl="0">
      <w:start w:val="1"/>
      <w:numFmt w:val="decimal"/>
      <w:pStyle w:val="NumberedList3"/>
      <w:lvlText w:val="(%1)"/>
      <w:lvlJc w:val="left"/>
      <w:pPr>
        <w:ind w:left="1134" w:hanging="425"/>
      </w:pPr>
      <w:rPr>
        <w:rFonts w:hint="default"/>
        <w:b w:val="0"/>
        <w:i w:val="0"/>
      </w:rPr>
    </w:lvl>
    <w:lvl w:ilvl="1">
      <w:start w:val="1"/>
      <w:numFmt w:val="lowerLetter"/>
      <w:lvlText w:val="(%2)"/>
      <w:lvlJc w:val="left"/>
      <w:pPr>
        <w:ind w:left="1418" w:hanging="426"/>
      </w:pPr>
      <w:rPr>
        <w:rFonts w:hint="default"/>
      </w:rPr>
    </w:lvl>
    <w:lvl w:ilvl="2">
      <w:start w:val="1"/>
      <w:numFmt w:val="lowerRoman"/>
      <w:lvlText w:val="(%3)"/>
      <w:lvlJc w:val="left"/>
      <w:pPr>
        <w:tabs>
          <w:tab w:val="num" w:pos="1276"/>
        </w:tabs>
        <w:ind w:left="1701"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C190F0C"/>
    <w:multiLevelType w:val="multilevel"/>
    <w:tmpl w:val="026C3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2181AA0"/>
    <w:multiLevelType w:val="multilevel"/>
    <w:tmpl w:val="A8EAAC72"/>
    <w:lvl w:ilvl="0">
      <w:start w:val="1"/>
      <w:numFmt w:val="bullet"/>
      <w:pStyle w:val="BulletList2"/>
      <w:lvlText w:val=""/>
      <w:lvlJc w:val="left"/>
      <w:pPr>
        <w:ind w:left="709" w:hanging="284"/>
      </w:pPr>
      <w:rPr>
        <w:rFonts w:hint="default" w:ascii="Symbol" w:hAnsi="Symbol"/>
      </w:rPr>
    </w:lvl>
    <w:lvl w:ilvl="1">
      <w:start w:val="1"/>
      <w:numFmt w:val="bullet"/>
      <w:lvlText w:val="o"/>
      <w:lvlJc w:val="left"/>
      <w:pPr>
        <w:ind w:left="1276" w:hanging="284"/>
      </w:pPr>
      <w:rPr>
        <w:rFonts w:hint="default" w:ascii="Courier New" w:hAnsi="Courier New"/>
      </w:rPr>
    </w:lvl>
    <w:lvl w:ilvl="2">
      <w:start w:val="1"/>
      <w:numFmt w:val="bullet"/>
      <w:lvlText w:val=""/>
      <w:lvlJc w:val="left"/>
      <w:pPr>
        <w:ind w:left="1843" w:hanging="284"/>
      </w:pPr>
      <w:rPr>
        <w:rFonts w:hint="default" w:ascii="Wingdings" w:hAnsi="Wingdings"/>
      </w:rPr>
    </w:lvl>
    <w:lvl w:ilvl="3">
      <w:start w:val="1"/>
      <w:numFmt w:val="bullet"/>
      <w:lvlText w:val=""/>
      <w:lvlJc w:val="left"/>
      <w:pPr>
        <w:ind w:left="2410" w:hanging="284"/>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4FF7021"/>
    <w:multiLevelType w:val="multilevel"/>
    <w:tmpl w:val="EEF61864"/>
    <w:lvl w:ilvl="0">
      <w:start w:val="1"/>
      <w:numFmt w:val="upperRoman"/>
      <w:pStyle w:val="Heading1"/>
      <w:lvlText w:val="%1."/>
      <w:lvlJc w:val="right"/>
      <w:pPr>
        <w:ind w:left="0" w:hanging="284"/>
      </w:pPr>
      <w:rPr>
        <w:rFonts w:hint="default"/>
      </w:rPr>
    </w:lvl>
    <w:lvl w:ilvl="1">
      <w:start w:val="1"/>
      <w:numFmt w:val="upperLetter"/>
      <w:pStyle w:val="Heading2"/>
      <w:lvlText w:val="%2."/>
      <w:lvlJc w:val="left"/>
      <w:pPr>
        <w:ind w:left="284" w:hanging="284"/>
      </w:pPr>
      <w:rPr>
        <w:rFonts w:hint="default"/>
        <w:i w:val="0"/>
        <w:iCs w:val="0"/>
      </w:rPr>
    </w:lvl>
    <w:lvl w:ilvl="2">
      <w:start w:val="1"/>
      <w:numFmt w:val="decimal"/>
      <w:pStyle w:val="Heading3"/>
      <w:lvlText w:val="%3."/>
      <w:lvlJc w:val="left"/>
      <w:pPr>
        <w:ind w:left="567" w:hanging="284"/>
      </w:pPr>
      <w:rPr>
        <w:rFonts w:hint="default"/>
      </w:rPr>
    </w:lvl>
    <w:lvl w:ilvl="3">
      <w:start w:val="1"/>
      <w:numFmt w:val="lowerLetter"/>
      <w:pStyle w:val="Heading4"/>
      <w:lvlText w:val="%4)"/>
      <w:lvlJc w:val="left"/>
      <w:pPr>
        <w:ind w:left="851" w:hanging="284"/>
      </w:pPr>
      <w:rPr>
        <w:rFonts w:hint="default"/>
      </w:rPr>
    </w:lvl>
    <w:lvl w:ilvl="4">
      <w:start w:val="1"/>
      <w:numFmt w:val="decimal"/>
      <w:lvlText w:val="(%5)"/>
      <w:lvlJc w:val="left"/>
      <w:pPr>
        <w:ind w:left="0" w:firstLine="850"/>
      </w:pPr>
      <w:rPr>
        <w:rFonts w:hint="default"/>
      </w:rPr>
    </w:lvl>
    <w:lvl w:ilvl="5">
      <w:start w:val="1"/>
      <w:numFmt w:val="lowerLetter"/>
      <w:lvlText w:val="(%6)"/>
      <w:lvlJc w:val="left"/>
      <w:pPr>
        <w:ind w:left="0" w:firstLine="1134"/>
      </w:pPr>
      <w:rPr>
        <w:rFonts w:hint="default"/>
      </w:rPr>
    </w:lvl>
    <w:lvl w:ilvl="6">
      <w:start w:val="1"/>
      <w:numFmt w:val="lowerRoman"/>
      <w:suff w:val="space"/>
      <w:lvlText w:val="(%7)"/>
      <w:lvlJc w:val="left"/>
      <w:pPr>
        <w:ind w:left="0" w:firstLine="1417"/>
      </w:pPr>
      <w:rPr>
        <w:rFonts w:hint="default"/>
      </w:rPr>
    </w:lvl>
    <w:lvl w:ilvl="7">
      <w:start w:val="1"/>
      <w:numFmt w:val="lowerLetter"/>
      <w:suff w:val="space"/>
      <w:lvlText w:val="(%8)"/>
      <w:lvlJc w:val="left"/>
      <w:pPr>
        <w:ind w:left="0" w:firstLine="1701"/>
      </w:pPr>
      <w:rPr>
        <w:rFonts w:hint="default"/>
      </w:rPr>
    </w:lvl>
    <w:lvl w:ilvl="8">
      <w:start w:val="1"/>
      <w:numFmt w:val="lowerRoman"/>
      <w:suff w:val="space"/>
      <w:lvlText w:val="(%9)"/>
      <w:lvlJc w:val="left"/>
      <w:pPr>
        <w:ind w:left="0" w:firstLine="1984"/>
      </w:pPr>
      <w:rPr>
        <w:rFonts w:hint="default"/>
      </w:rPr>
    </w:lvl>
  </w:abstractNum>
  <w:abstractNum w:abstractNumId="8" w15:restartNumberingAfterBreak="0">
    <w:nsid w:val="68AB2AA0"/>
    <w:multiLevelType w:val="multilevel"/>
    <w:tmpl w:val="ACBC3576"/>
    <w:lvl w:ilvl="0">
      <w:start w:val="1"/>
      <w:numFmt w:val="decimal"/>
      <w:pStyle w:val="NumberedList4"/>
      <w:lvlText w:val="(%1)"/>
      <w:lvlJc w:val="left"/>
      <w:pPr>
        <w:ind w:left="1418" w:hanging="426"/>
      </w:pPr>
      <w:rPr>
        <w:rFonts w:hint="default"/>
      </w:rPr>
    </w:lvl>
    <w:lvl w:ilvl="1">
      <w:start w:val="1"/>
      <w:numFmt w:val="lowerLetter"/>
      <w:lvlText w:val="(%2)"/>
      <w:lvlJc w:val="left"/>
      <w:pPr>
        <w:ind w:left="1701" w:hanging="425"/>
      </w:pPr>
      <w:rPr>
        <w:rFonts w:hint="default"/>
      </w:rPr>
    </w:lvl>
    <w:lvl w:ilvl="2">
      <w:start w:val="1"/>
      <w:numFmt w:val="lowerRoman"/>
      <w:lvlText w:val="(%3)"/>
      <w:lvlJc w:val="left"/>
      <w:pPr>
        <w:ind w:left="1985" w:hanging="42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11054D9"/>
    <w:multiLevelType w:val="multilevel"/>
    <w:tmpl w:val="145461DC"/>
    <w:lvl w:ilvl="0">
      <w:start w:val="1"/>
      <w:numFmt w:val="bullet"/>
      <w:pStyle w:val="BulletList3"/>
      <w:lvlText w:val=""/>
      <w:lvlJc w:val="left"/>
      <w:pPr>
        <w:ind w:left="992" w:hanging="283"/>
      </w:pPr>
      <w:rPr>
        <w:rFonts w:hint="default" w:ascii="Symbol" w:hAnsi="Symbol"/>
      </w:rPr>
    </w:lvl>
    <w:lvl w:ilvl="1">
      <w:start w:val="1"/>
      <w:numFmt w:val="bullet"/>
      <w:lvlText w:val="o"/>
      <w:lvlJc w:val="left"/>
      <w:pPr>
        <w:tabs>
          <w:tab w:val="num" w:pos="1559"/>
        </w:tabs>
        <w:ind w:left="1559" w:hanging="283"/>
      </w:pPr>
      <w:rPr>
        <w:rFonts w:hint="default" w:ascii="Courier New" w:hAnsi="Courier New"/>
      </w:rPr>
    </w:lvl>
    <w:lvl w:ilvl="2">
      <w:start w:val="1"/>
      <w:numFmt w:val="bullet"/>
      <w:lvlText w:val=""/>
      <w:lvlJc w:val="left"/>
      <w:pPr>
        <w:tabs>
          <w:tab w:val="num" w:pos="2693"/>
        </w:tabs>
        <w:ind w:left="2126" w:hanging="283"/>
      </w:pPr>
      <w:rPr>
        <w:rFonts w:hint="default" w:ascii="Wingdings" w:hAnsi="Wingdings"/>
      </w:rPr>
    </w:lvl>
    <w:lvl w:ilvl="3">
      <w:start w:val="1"/>
      <w:numFmt w:val="bullet"/>
      <w:lvlText w:val=""/>
      <w:lvlJc w:val="left"/>
      <w:pPr>
        <w:ind w:left="2693" w:hanging="283"/>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307004116">
    <w:abstractNumId w:val="7"/>
  </w:num>
  <w:num w:numId="2" w16cid:durableId="71700774">
    <w:abstractNumId w:val="7"/>
  </w:num>
  <w:num w:numId="3" w16cid:durableId="97143472">
    <w:abstractNumId w:val="7"/>
  </w:num>
  <w:num w:numId="4" w16cid:durableId="42027802">
    <w:abstractNumId w:val="7"/>
  </w:num>
  <w:num w:numId="5" w16cid:durableId="1833791475">
    <w:abstractNumId w:val="7"/>
  </w:num>
  <w:num w:numId="6" w16cid:durableId="1308586927">
    <w:abstractNumId w:val="7"/>
  </w:num>
  <w:num w:numId="7" w16cid:durableId="59329636">
    <w:abstractNumId w:val="7"/>
  </w:num>
  <w:num w:numId="8" w16cid:durableId="1258826907">
    <w:abstractNumId w:val="7"/>
  </w:num>
  <w:num w:numId="9" w16cid:durableId="67263947">
    <w:abstractNumId w:val="3"/>
  </w:num>
  <w:num w:numId="10" w16cid:durableId="261037510">
    <w:abstractNumId w:val="6"/>
  </w:num>
  <w:num w:numId="11" w16cid:durableId="2015451355">
    <w:abstractNumId w:val="9"/>
  </w:num>
  <w:num w:numId="12" w16cid:durableId="587273303">
    <w:abstractNumId w:val="0"/>
  </w:num>
  <w:num w:numId="13" w16cid:durableId="112406295">
    <w:abstractNumId w:val="1"/>
  </w:num>
  <w:num w:numId="14" w16cid:durableId="947471465">
    <w:abstractNumId w:val="2"/>
  </w:num>
  <w:num w:numId="15" w16cid:durableId="749621682">
    <w:abstractNumId w:val="4"/>
  </w:num>
  <w:num w:numId="16" w16cid:durableId="404184451">
    <w:abstractNumId w:val="3"/>
  </w:num>
  <w:num w:numId="17" w16cid:durableId="980571507">
    <w:abstractNumId w:val="6"/>
  </w:num>
  <w:num w:numId="18" w16cid:durableId="1743600021">
    <w:abstractNumId w:val="9"/>
  </w:num>
  <w:num w:numId="19" w16cid:durableId="959917046">
    <w:abstractNumId w:val="0"/>
  </w:num>
  <w:num w:numId="20" w16cid:durableId="895748800">
    <w:abstractNumId w:val="7"/>
  </w:num>
  <w:num w:numId="21" w16cid:durableId="1320428959">
    <w:abstractNumId w:val="7"/>
  </w:num>
  <w:num w:numId="22" w16cid:durableId="1390766278">
    <w:abstractNumId w:val="7"/>
  </w:num>
  <w:num w:numId="23" w16cid:durableId="950012654">
    <w:abstractNumId w:val="7"/>
  </w:num>
  <w:num w:numId="24" w16cid:durableId="159396771">
    <w:abstractNumId w:val="1"/>
  </w:num>
  <w:num w:numId="25" w16cid:durableId="642655969">
    <w:abstractNumId w:val="2"/>
  </w:num>
  <w:num w:numId="26" w16cid:durableId="926813259">
    <w:abstractNumId w:val="4"/>
  </w:num>
  <w:num w:numId="27" w16cid:durableId="1941449395">
    <w:abstractNumId w:val="8"/>
  </w:num>
  <w:num w:numId="28" w16cid:durableId="251201634">
    <w:abstractNumId w:val="8"/>
  </w:num>
  <w:num w:numId="29" w16cid:durableId="28574531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7"/>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33"/>
    <w:rsid w:val="00016622"/>
    <w:rsid w:val="00021FFF"/>
    <w:rsid w:val="000230FF"/>
    <w:rsid w:val="000331AE"/>
    <w:rsid w:val="00036AFA"/>
    <w:rsid w:val="00064A5A"/>
    <w:rsid w:val="0009078D"/>
    <w:rsid w:val="000B37E6"/>
    <w:rsid w:val="0016253D"/>
    <w:rsid w:val="00181DEA"/>
    <w:rsid w:val="001B1733"/>
    <w:rsid w:val="001B3568"/>
    <w:rsid w:val="00223309"/>
    <w:rsid w:val="0024175B"/>
    <w:rsid w:val="0025292C"/>
    <w:rsid w:val="002A0E1D"/>
    <w:rsid w:val="00313F42"/>
    <w:rsid w:val="00322385"/>
    <w:rsid w:val="003447BD"/>
    <w:rsid w:val="0035777A"/>
    <w:rsid w:val="003A32A9"/>
    <w:rsid w:val="003B6CC8"/>
    <w:rsid w:val="004064FE"/>
    <w:rsid w:val="004207C1"/>
    <w:rsid w:val="004454BB"/>
    <w:rsid w:val="00474C9E"/>
    <w:rsid w:val="00481F2F"/>
    <w:rsid w:val="0049280D"/>
    <w:rsid w:val="004C235E"/>
    <w:rsid w:val="004D10C4"/>
    <w:rsid w:val="00547BAA"/>
    <w:rsid w:val="00565D48"/>
    <w:rsid w:val="00587C69"/>
    <w:rsid w:val="005C7D61"/>
    <w:rsid w:val="005D3A75"/>
    <w:rsid w:val="005F6306"/>
    <w:rsid w:val="005F6E96"/>
    <w:rsid w:val="00613542"/>
    <w:rsid w:val="00626A36"/>
    <w:rsid w:val="006330FC"/>
    <w:rsid w:val="00643F54"/>
    <w:rsid w:val="00650ED3"/>
    <w:rsid w:val="00671A0D"/>
    <w:rsid w:val="00690F27"/>
    <w:rsid w:val="006948DE"/>
    <w:rsid w:val="006B50FB"/>
    <w:rsid w:val="006C5C34"/>
    <w:rsid w:val="006E0274"/>
    <w:rsid w:val="006E2A1F"/>
    <w:rsid w:val="00732474"/>
    <w:rsid w:val="0075366B"/>
    <w:rsid w:val="00791998"/>
    <w:rsid w:val="007C23F0"/>
    <w:rsid w:val="007F501A"/>
    <w:rsid w:val="00822AAC"/>
    <w:rsid w:val="00870155"/>
    <w:rsid w:val="00871A03"/>
    <w:rsid w:val="008849FD"/>
    <w:rsid w:val="0088700E"/>
    <w:rsid w:val="008E1C77"/>
    <w:rsid w:val="008E7A63"/>
    <w:rsid w:val="00921548"/>
    <w:rsid w:val="00952D33"/>
    <w:rsid w:val="00960F95"/>
    <w:rsid w:val="00982CEB"/>
    <w:rsid w:val="009976C3"/>
    <w:rsid w:val="009A50C0"/>
    <w:rsid w:val="009D0134"/>
    <w:rsid w:val="00A03288"/>
    <w:rsid w:val="00A25050"/>
    <w:rsid w:val="00A43D64"/>
    <w:rsid w:val="00A741C8"/>
    <w:rsid w:val="00A81C94"/>
    <w:rsid w:val="00AB1F93"/>
    <w:rsid w:val="00AC0492"/>
    <w:rsid w:val="00AE65B7"/>
    <w:rsid w:val="00B23443"/>
    <w:rsid w:val="00B42DF3"/>
    <w:rsid w:val="00B9656B"/>
    <w:rsid w:val="00BB3881"/>
    <w:rsid w:val="00BD3C30"/>
    <w:rsid w:val="00C459CE"/>
    <w:rsid w:val="00C63942"/>
    <w:rsid w:val="00CA2F29"/>
    <w:rsid w:val="00CB4BC8"/>
    <w:rsid w:val="00CE585D"/>
    <w:rsid w:val="00D427D0"/>
    <w:rsid w:val="00D4564B"/>
    <w:rsid w:val="00D46BD7"/>
    <w:rsid w:val="00D8540C"/>
    <w:rsid w:val="00D86216"/>
    <w:rsid w:val="00E05921"/>
    <w:rsid w:val="00E13F0F"/>
    <w:rsid w:val="00E169A3"/>
    <w:rsid w:val="00E16CC2"/>
    <w:rsid w:val="00E84B95"/>
    <w:rsid w:val="00E86ADA"/>
    <w:rsid w:val="00E91167"/>
    <w:rsid w:val="00E9559A"/>
    <w:rsid w:val="00ED7D53"/>
    <w:rsid w:val="00F13271"/>
    <w:rsid w:val="00F812D4"/>
    <w:rsid w:val="00FB0582"/>
    <w:rsid w:val="00FD4181"/>
    <w:rsid w:val="00FD4E20"/>
    <w:rsid w:val="276AED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9747"/>
  <w15:chartTrackingRefBased/>
  <w15:docId w15:val="{567E039F-4F01-494D-B901-44F1A6B31B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A63"/>
    <w:rPr>
      <w:lang w:val="fr-CA"/>
    </w:rPr>
  </w:style>
  <w:style w:type="paragraph" w:styleId="Heading1">
    <w:name w:val="heading 1"/>
    <w:basedOn w:val="Normal"/>
    <w:next w:val="Normal"/>
    <w:link w:val="Heading1Char"/>
    <w:uiPriority w:val="9"/>
    <w:qFormat/>
    <w:rsid w:val="008E7A63"/>
    <w:pPr>
      <w:keepNext/>
      <w:numPr>
        <w:numId w:val="23"/>
      </w:numPr>
      <w:spacing w:before="360"/>
      <w:outlineLvl w:val="0"/>
    </w:pPr>
    <w:rPr>
      <w:rFonts w:cs="Times New Roman (Body CS)"/>
      <w:b/>
      <w:bCs/>
      <w:caps/>
    </w:rPr>
  </w:style>
  <w:style w:type="paragraph" w:styleId="Heading2">
    <w:name w:val="heading 2"/>
    <w:basedOn w:val="Normal"/>
    <w:next w:val="Normal"/>
    <w:link w:val="Heading2Char"/>
    <w:uiPriority w:val="9"/>
    <w:unhideWhenUsed/>
    <w:qFormat/>
    <w:rsid w:val="008E7A63"/>
    <w:pPr>
      <w:keepNext/>
      <w:numPr>
        <w:ilvl w:val="1"/>
        <w:numId w:val="23"/>
      </w:numPr>
      <w:spacing w:before="200"/>
      <w:outlineLvl w:val="1"/>
    </w:pPr>
    <w:rPr>
      <w:b/>
      <w:bCs/>
    </w:rPr>
  </w:style>
  <w:style w:type="paragraph" w:styleId="Heading3">
    <w:name w:val="heading 3"/>
    <w:basedOn w:val="Normal"/>
    <w:next w:val="Normal"/>
    <w:link w:val="Heading3Char"/>
    <w:uiPriority w:val="9"/>
    <w:unhideWhenUsed/>
    <w:qFormat/>
    <w:rsid w:val="008E7A63"/>
    <w:pPr>
      <w:keepNext/>
      <w:numPr>
        <w:ilvl w:val="2"/>
        <w:numId w:val="23"/>
      </w:numPr>
      <w:spacing w:before="200"/>
      <w:outlineLvl w:val="2"/>
    </w:pPr>
    <w:rPr>
      <w:u w:val="single"/>
    </w:rPr>
  </w:style>
  <w:style w:type="paragraph" w:styleId="Heading4">
    <w:name w:val="heading 4"/>
    <w:basedOn w:val="Normal"/>
    <w:next w:val="Normal"/>
    <w:link w:val="Heading4Char"/>
    <w:uiPriority w:val="9"/>
    <w:unhideWhenUsed/>
    <w:qFormat/>
    <w:rsid w:val="008E7A63"/>
    <w:pPr>
      <w:keepNext/>
      <w:numPr>
        <w:ilvl w:val="3"/>
        <w:numId w:val="23"/>
      </w:numPr>
      <w:spacing w:before="200"/>
      <w:outlineLvl w:val="3"/>
    </w:pPr>
    <w:rPr>
      <w:i/>
      <w:iCs/>
    </w:rPr>
  </w:style>
  <w:style w:type="paragraph" w:styleId="Heading5">
    <w:name w:val="heading 5"/>
    <w:basedOn w:val="Normal"/>
    <w:next w:val="Normal"/>
    <w:link w:val="Heading5Char"/>
    <w:uiPriority w:val="9"/>
    <w:semiHidden/>
    <w:unhideWhenUsed/>
    <w:qFormat/>
    <w:rsid w:val="00952D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D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D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D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D3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7A63"/>
    <w:rPr>
      <w:rFonts w:cs="Times New Roman (Body CS)"/>
      <w:b/>
      <w:bCs/>
      <w:caps/>
      <w:lang w:val="fr-CA"/>
    </w:rPr>
  </w:style>
  <w:style w:type="character" w:styleId="Heading2Char" w:customStyle="1">
    <w:name w:val="Heading 2 Char"/>
    <w:basedOn w:val="DefaultParagraphFont"/>
    <w:link w:val="Heading2"/>
    <w:uiPriority w:val="9"/>
    <w:rsid w:val="008E7A63"/>
    <w:rPr>
      <w:b/>
      <w:bCs/>
      <w:lang w:val="fr-CA"/>
    </w:rPr>
  </w:style>
  <w:style w:type="character" w:styleId="Heading3Char" w:customStyle="1">
    <w:name w:val="Heading 3 Char"/>
    <w:basedOn w:val="DefaultParagraphFont"/>
    <w:link w:val="Heading3"/>
    <w:uiPriority w:val="9"/>
    <w:rsid w:val="008E7A63"/>
    <w:rPr>
      <w:u w:val="single"/>
      <w:lang w:val="fr-CA"/>
    </w:rPr>
  </w:style>
  <w:style w:type="character" w:styleId="Heading4Char" w:customStyle="1">
    <w:name w:val="Heading 4 Char"/>
    <w:basedOn w:val="DefaultParagraphFont"/>
    <w:link w:val="Heading4"/>
    <w:uiPriority w:val="9"/>
    <w:rsid w:val="008E7A63"/>
    <w:rPr>
      <w:i/>
      <w:iCs/>
      <w:lang w:val="fr-CA"/>
    </w:rPr>
  </w:style>
  <w:style w:type="paragraph" w:styleId="BulletList1" w:customStyle="1">
    <w:name w:val="Bullet List 1"/>
    <w:basedOn w:val="ListParagraph"/>
    <w:qFormat/>
    <w:rsid w:val="008E7A63"/>
    <w:pPr>
      <w:numPr>
        <w:numId w:val="16"/>
      </w:numPr>
    </w:pPr>
  </w:style>
  <w:style w:type="paragraph" w:styleId="ListParagraph">
    <w:name w:val="List Paragraph"/>
    <w:basedOn w:val="Normal"/>
    <w:uiPriority w:val="34"/>
    <w:qFormat/>
    <w:rsid w:val="008E7A63"/>
    <w:pPr>
      <w:ind w:left="720"/>
      <w:contextualSpacing/>
    </w:pPr>
  </w:style>
  <w:style w:type="paragraph" w:styleId="BulletList2" w:customStyle="1">
    <w:name w:val="Bullet List 2"/>
    <w:basedOn w:val="ListParagraph"/>
    <w:qFormat/>
    <w:rsid w:val="008E7A63"/>
    <w:pPr>
      <w:numPr>
        <w:numId w:val="17"/>
      </w:numPr>
    </w:pPr>
  </w:style>
  <w:style w:type="paragraph" w:styleId="BulletList3" w:customStyle="1">
    <w:name w:val="Bullet List 3"/>
    <w:basedOn w:val="ListParagraph"/>
    <w:qFormat/>
    <w:rsid w:val="008E7A63"/>
    <w:pPr>
      <w:numPr>
        <w:numId w:val="18"/>
      </w:numPr>
    </w:pPr>
  </w:style>
  <w:style w:type="paragraph" w:styleId="BulletList4" w:customStyle="1">
    <w:name w:val="Bullet List 4"/>
    <w:basedOn w:val="ListParagraph"/>
    <w:qFormat/>
    <w:rsid w:val="008E7A63"/>
    <w:pPr>
      <w:numPr>
        <w:numId w:val="19"/>
      </w:numPr>
    </w:pPr>
  </w:style>
  <w:style w:type="character" w:styleId="Emphase" w:customStyle="1">
    <w:name w:val="Emphase"/>
    <w:basedOn w:val="DefaultParagraphFont"/>
    <w:uiPriority w:val="1"/>
    <w:qFormat/>
    <w:rsid w:val="008E7A63"/>
    <w:rPr>
      <w:color w:val="000000" w:themeColor="text1"/>
      <w:lang w:val="fr-CA"/>
      <w14:textOutline w14:w="3175" w14:cap="rnd" w14:cmpd="sng" w14:algn="ctr">
        <w14:solidFill>
          <w14:srgbClr w14:val="EA3300"/>
        </w14:solidFill>
        <w14:prstDash w14:val="solid"/>
        <w14:bevel/>
      </w14:textOutline>
    </w:rPr>
  </w:style>
  <w:style w:type="paragraph" w:styleId="Footer">
    <w:name w:val="footer"/>
    <w:basedOn w:val="Normal"/>
    <w:link w:val="FooterChar"/>
    <w:uiPriority w:val="99"/>
    <w:unhideWhenUsed/>
    <w:rsid w:val="008E7A63"/>
    <w:pPr>
      <w:tabs>
        <w:tab w:val="center" w:pos="4680"/>
        <w:tab w:val="right" w:pos="9360"/>
      </w:tabs>
    </w:pPr>
  </w:style>
  <w:style w:type="character" w:styleId="FooterChar" w:customStyle="1">
    <w:name w:val="Footer Char"/>
    <w:basedOn w:val="DefaultParagraphFont"/>
    <w:link w:val="Footer"/>
    <w:uiPriority w:val="99"/>
    <w:rsid w:val="008E7A63"/>
    <w:rPr>
      <w:lang w:val="fr-CA"/>
    </w:rPr>
  </w:style>
  <w:style w:type="paragraph" w:styleId="Header">
    <w:name w:val="header"/>
    <w:basedOn w:val="Normal"/>
    <w:link w:val="HeaderChar"/>
    <w:uiPriority w:val="99"/>
    <w:unhideWhenUsed/>
    <w:rsid w:val="008E7A63"/>
    <w:pPr>
      <w:tabs>
        <w:tab w:val="center" w:pos="4680"/>
        <w:tab w:val="right" w:pos="9360"/>
      </w:tabs>
    </w:pPr>
  </w:style>
  <w:style w:type="character" w:styleId="HeaderChar" w:customStyle="1">
    <w:name w:val="Header Char"/>
    <w:basedOn w:val="DefaultParagraphFont"/>
    <w:link w:val="Header"/>
    <w:uiPriority w:val="99"/>
    <w:rsid w:val="008E7A63"/>
    <w:rPr>
      <w:lang w:val="fr-CA"/>
    </w:rPr>
  </w:style>
  <w:style w:type="character" w:styleId="Hyperlink">
    <w:name w:val="Hyperlink"/>
    <w:basedOn w:val="DefaultParagraphFont"/>
    <w:uiPriority w:val="99"/>
    <w:unhideWhenUsed/>
    <w:rsid w:val="008E7A63"/>
    <w:rPr>
      <w:color w:val="000000" w:themeColor="text1"/>
      <w:u w:val="single"/>
      <w:lang w:val="fr-CA"/>
      <w14:textOutline w14:w="3175" w14:cap="rnd" w14:cmpd="sng" w14:algn="ctr">
        <w14:solidFill>
          <w14:srgbClr w14:val="00B0F0"/>
        </w14:solidFill>
        <w14:prstDash w14:val="solid"/>
        <w14:bevel/>
      </w14:textOutline>
    </w:rPr>
  </w:style>
  <w:style w:type="character" w:styleId="Jurisprudence-Intitul" w:customStyle="1">
    <w:name w:val="Jurisprudence - Intitulé"/>
    <w:basedOn w:val="DefaultParagraphFont"/>
    <w:uiPriority w:val="1"/>
    <w:qFormat/>
    <w:rsid w:val="008E7A63"/>
    <w:rPr>
      <w:i/>
      <w:noProof/>
      <w:u w:val="single"/>
      <w:lang w:val="fr-CA"/>
      <w14:textOutline w14:w="3175" w14:cap="rnd" w14:cmpd="sng" w14:algn="ctr">
        <w14:solidFill>
          <w14:srgbClr w14:val="FFC000"/>
        </w14:solidFill>
        <w14:prstDash w14:val="solid"/>
        <w14:bevel/>
      </w14:textOutline>
    </w:rPr>
  </w:style>
  <w:style w:type="character" w:styleId="Lgislation-Titre" w:customStyle="1">
    <w:name w:val="Législation - Titre"/>
    <w:uiPriority w:val="1"/>
    <w:qFormat/>
    <w:rsid w:val="008E7A63"/>
    <w:rPr>
      <w:i/>
      <w:u w:val="single"/>
      <w:lang w:val="fr-CA"/>
      <w14:textOutline w14:w="3175" w14:cap="rnd" w14:cmpd="sng" w14:algn="ctr">
        <w14:solidFill>
          <w14:srgbClr w14:val="00B050"/>
        </w14:solidFill>
        <w14:prstDash w14:val="solid"/>
        <w14:bevel/>
      </w14:textOutline>
    </w:rPr>
  </w:style>
  <w:style w:type="paragraph" w:styleId="Normal1" w:customStyle="1">
    <w:name w:val="Normal 1"/>
    <w:basedOn w:val="Normal"/>
    <w:qFormat/>
    <w:rsid w:val="008E7A63"/>
  </w:style>
  <w:style w:type="paragraph" w:styleId="Normal3" w:customStyle="1">
    <w:name w:val="Normal 3"/>
    <w:basedOn w:val="Normal"/>
    <w:qFormat/>
    <w:rsid w:val="008E7A63"/>
    <w:pPr>
      <w:ind w:left="567"/>
    </w:pPr>
  </w:style>
  <w:style w:type="paragraph" w:styleId="Normal2" w:customStyle="1">
    <w:name w:val="Normal 2"/>
    <w:basedOn w:val="Normal3"/>
    <w:qFormat/>
    <w:rsid w:val="008E7A63"/>
    <w:pPr>
      <w:ind w:left="284"/>
    </w:pPr>
  </w:style>
  <w:style w:type="paragraph" w:styleId="Normal4" w:customStyle="1">
    <w:name w:val="Normal 4"/>
    <w:basedOn w:val="Normal3"/>
    <w:qFormat/>
    <w:rsid w:val="008E7A63"/>
    <w:pPr>
      <w:ind w:left="851"/>
    </w:pPr>
  </w:style>
  <w:style w:type="paragraph" w:styleId="NumberedList1" w:customStyle="1">
    <w:name w:val="Numbered List 1"/>
    <w:basedOn w:val="ListParagraph"/>
    <w:qFormat/>
    <w:rsid w:val="008E7A63"/>
    <w:pPr>
      <w:numPr>
        <w:numId w:val="24"/>
      </w:numPr>
    </w:pPr>
  </w:style>
  <w:style w:type="paragraph" w:styleId="NumberedList2" w:customStyle="1">
    <w:name w:val="Numbered List 2"/>
    <w:basedOn w:val="ListParagraph"/>
    <w:qFormat/>
    <w:rsid w:val="008E7A63"/>
    <w:pPr>
      <w:numPr>
        <w:numId w:val="25"/>
      </w:numPr>
    </w:pPr>
  </w:style>
  <w:style w:type="paragraph" w:styleId="NumberedList3" w:customStyle="1">
    <w:name w:val="Numbered List 3"/>
    <w:basedOn w:val="ListParagraph"/>
    <w:qFormat/>
    <w:rsid w:val="008E7A63"/>
    <w:pPr>
      <w:numPr>
        <w:numId w:val="26"/>
      </w:numPr>
    </w:pPr>
  </w:style>
  <w:style w:type="paragraph" w:styleId="Title">
    <w:name w:val="Title"/>
    <w:basedOn w:val="Normal"/>
    <w:next w:val="Normal"/>
    <w:link w:val="TitleChar"/>
    <w:uiPriority w:val="10"/>
    <w:qFormat/>
    <w:rsid w:val="008E7A63"/>
    <w:pPr>
      <w:jc w:val="center"/>
    </w:pPr>
    <w:rPr>
      <w:rFonts w:cs="Times New Roman (Body CS)"/>
      <w:b/>
      <w:caps/>
    </w:rPr>
  </w:style>
  <w:style w:type="character" w:styleId="TitleChar" w:customStyle="1">
    <w:name w:val="Title Char"/>
    <w:basedOn w:val="DefaultParagraphFont"/>
    <w:link w:val="Title"/>
    <w:uiPriority w:val="10"/>
    <w:rsid w:val="008E7A63"/>
    <w:rPr>
      <w:rFonts w:cs="Times New Roman (Body CS)"/>
      <w:b/>
      <w:caps/>
      <w:lang w:val="fr-CA"/>
    </w:rPr>
  </w:style>
  <w:style w:type="paragraph" w:styleId="TOC1">
    <w:name w:val="toc 1"/>
    <w:basedOn w:val="Normal"/>
    <w:next w:val="Normal"/>
    <w:autoRedefine/>
    <w:uiPriority w:val="39"/>
    <w:unhideWhenUsed/>
    <w:rsid w:val="008E7A63"/>
    <w:pPr>
      <w:keepNext/>
      <w:tabs>
        <w:tab w:val="left" w:pos="425"/>
        <w:tab w:val="right" w:pos="10206"/>
      </w:tabs>
      <w:spacing w:before="160"/>
      <w:ind w:left="425" w:hanging="425"/>
    </w:pPr>
    <w:rPr>
      <w:rFonts w:cs="Times New Roman (Body CS)"/>
      <w:b/>
      <w:bCs/>
      <w:iCs/>
      <w:caps/>
      <w:noProof/>
      <w:sz w:val="22"/>
    </w:rPr>
  </w:style>
  <w:style w:type="paragraph" w:styleId="TOC2">
    <w:name w:val="toc 2"/>
    <w:basedOn w:val="Normal"/>
    <w:next w:val="Normal"/>
    <w:autoRedefine/>
    <w:uiPriority w:val="39"/>
    <w:unhideWhenUsed/>
    <w:rsid w:val="008E7A63"/>
    <w:pPr>
      <w:tabs>
        <w:tab w:val="left" w:pos="567"/>
        <w:tab w:val="right" w:pos="10206"/>
      </w:tabs>
      <w:spacing w:before="120"/>
      <w:ind w:left="567" w:hanging="283"/>
    </w:pPr>
    <w:rPr>
      <w:b/>
      <w:bCs/>
      <w:noProof/>
      <w:sz w:val="21"/>
      <w:szCs w:val="22"/>
    </w:rPr>
  </w:style>
  <w:style w:type="paragraph" w:styleId="TOC3">
    <w:name w:val="toc 3"/>
    <w:basedOn w:val="Normal"/>
    <w:next w:val="Normal"/>
    <w:autoRedefine/>
    <w:uiPriority w:val="39"/>
    <w:unhideWhenUsed/>
    <w:rsid w:val="008E7A63"/>
    <w:pPr>
      <w:tabs>
        <w:tab w:val="left" w:pos="992"/>
        <w:tab w:val="right" w:pos="10206"/>
      </w:tabs>
      <w:spacing w:before="80"/>
      <w:ind w:left="993" w:right="142" w:hanging="284"/>
    </w:pPr>
    <w:rPr>
      <w:rFonts w:cs="Times New Roman (Body CS)"/>
      <w:noProof/>
      <w:sz w:val="21"/>
      <w:szCs w:val="20"/>
      <w:u w:val="words"/>
    </w:rPr>
  </w:style>
  <w:style w:type="paragraph" w:styleId="TOC4">
    <w:name w:val="toc 4"/>
    <w:basedOn w:val="Normal"/>
    <w:next w:val="Normal"/>
    <w:autoRedefine/>
    <w:uiPriority w:val="39"/>
    <w:unhideWhenUsed/>
    <w:rsid w:val="008E7A63"/>
    <w:pPr>
      <w:tabs>
        <w:tab w:val="left" w:pos="1920"/>
        <w:tab w:val="right" w:pos="10206"/>
      </w:tabs>
      <w:spacing w:before="40"/>
      <w:ind w:left="1560" w:hanging="284"/>
    </w:pPr>
    <w:rPr>
      <w:noProof/>
      <w:sz w:val="20"/>
      <w:szCs w:val="20"/>
    </w:rPr>
  </w:style>
  <w:style w:type="paragraph" w:styleId="NumberedList4" w:customStyle="1">
    <w:name w:val="Numbered List 4"/>
    <w:qFormat/>
    <w:rsid w:val="008E7A63"/>
    <w:pPr>
      <w:numPr>
        <w:numId w:val="28"/>
      </w:numPr>
    </w:pPr>
    <w:rPr>
      <w:lang w:val="fr-CA"/>
    </w:rPr>
  </w:style>
  <w:style w:type="character" w:styleId="Heading5Char" w:customStyle="1">
    <w:name w:val="Heading 5 Char"/>
    <w:basedOn w:val="DefaultParagraphFont"/>
    <w:link w:val="Heading5"/>
    <w:uiPriority w:val="9"/>
    <w:semiHidden/>
    <w:rsid w:val="00952D33"/>
    <w:rPr>
      <w:rFonts w:eastAsiaTheme="majorEastAsia" w:cstheme="majorBidi"/>
      <w:color w:val="0F4761" w:themeColor="accent1" w:themeShade="BF"/>
      <w:lang w:val="fr-CA"/>
    </w:rPr>
  </w:style>
  <w:style w:type="character" w:styleId="Heading6Char" w:customStyle="1">
    <w:name w:val="Heading 6 Char"/>
    <w:basedOn w:val="DefaultParagraphFont"/>
    <w:link w:val="Heading6"/>
    <w:uiPriority w:val="9"/>
    <w:semiHidden/>
    <w:rsid w:val="00952D33"/>
    <w:rPr>
      <w:rFonts w:eastAsiaTheme="majorEastAsia" w:cstheme="majorBidi"/>
      <w:i/>
      <w:iCs/>
      <w:color w:val="595959" w:themeColor="text1" w:themeTint="A6"/>
      <w:lang w:val="fr-CA"/>
    </w:rPr>
  </w:style>
  <w:style w:type="character" w:styleId="Heading7Char" w:customStyle="1">
    <w:name w:val="Heading 7 Char"/>
    <w:basedOn w:val="DefaultParagraphFont"/>
    <w:link w:val="Heading7"/>
    <w:uiPriority w:val="9"/>
    <w:semiHidden/>
    <w:rsid w:val="00952D33"/>
    <w:rPr>
      <w:rFonts w:eastAsiaTheme="majorEastAsia" w:cstheme="majorBidi"/>
      <w:color w:val="595959" w:themeColor="text1" w:themeTint="A6"/>
      <w:lang w:val="fr-CA"/>
    </w:rPr>
  </w:style>
  <w:style w:type="character" w:styleId="Heading8Char" w:customStyle="1">
    <w:name w:val="Heading 8 Char"/>
    <w:basedOn w:val="DefaultParagraphFont"/>
    <w:link w:val="Heading8"/>
    <w:uiPriority w:val="9"/>
    <w:semiHidden/>
    <w:rsid w:val="00952D33"/>
    <w:rPr>
      <w:rFonts w:eastAsiaTheme="majorEastAsia" w:cstheme="majorBidi"/>
      <w:i/>
      <w:iCs/>
      <w:color w:val="272727" w:themeColor="text1" w:themeTint="D8"/>
      <w:lang w:val="fr-CA"/>
    </w:rPr>
  </w:style>
  <w:style w:type="character" w:styleId="Heading9Char" w:customStyle="1">
    <w:name w:val="Heading 9 Char"/>
    <w:basedOn w:val="DefaultParagraphFont"/>
    <w:link w:val="Heading9"/>
    <w:uiPriority w:val="9"/>
    <w:semiHidden/>
    <w:rsid w:val="00952D33"/>
    <w:rPr>
      <w:rFonts w:eastAsiaTheme="majorEastAsia" w:cstheme="majorBidi"/>
      <w:color w:val="272727" w:themeColor="text1" w:themeTint="D8"/>
      <w:lang w:val="fr-CA"/>
    </w:rPr>
  </w:style>
  <w:style w:type="paragraph" w:styleId="Subtitle">
    <w:name w:val="Subtitle"/>
    <w:basedOn w:val="Normal"/>
    <w:next w:val="Normal"/>
    <w:link w:val="SubtitleChar"/>
    <w:uiPriority w:val="11"/>
    <w:qFormat/>
    <w:rsid w:val="00952D33"/>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52D33"/>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952D33"/>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52D33"/>
    <w:rPr>
      <w:i/>
      <w:iCs/>
      <w:color w:val="404040" w:themeColor="text1" w:themeTint="BF"/>
      <w:lang w:val="fr-CA"/>
    </w:rPr>
  </w:style>
  <w:style w:type="character" w:styleId="IntenseEmphasis">
    <w:name w:val="Intense Emphasis"/>
    <w:basedOn w:val="DefaultParagraphFont"/>
    <w:uiPriority w:val="21"/>
    <w:qFormat/>
    <w:rsid w:val="00952D33"/>
    <w:rPr>
      <w:i/>
      <w:iCs/>
      <w:color w:val="0F4761" w:themeColor="accent1" w:themeShade="BF"/>
    </w:rPr>
  </w:style>
  <w:style w:type="paragraph" w:styleId="IntenseQuote">
    <w:name w:val="Intense Quote"/>
    <w:basedOn w:val="Normal"/>
    <w:next w:val="Normal"/>
    <w:link w:val="IntenseQuoteChar"/>
    <w:uiPriority w:val="30"/>
    <w:qFormat/>
    <w:rsid w:val="00952D3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52D33"/>
    <w:rPr>
      <w:i/>
      <w:iCs/>
      <w:color w:val="0F4761" w:themeColor="accent1" w:themeShade="BF"/>
      <w:lang w:val="fr-CA"/>
    </w:rPr>
  </w:style>
  <w:style w:type="character" w:styleId="IntenseReference">
    <w:name w:val="Intense Reference"/>
    <w:basedOn w:val="DefaultParagraphFont"/>
    <w:uiPriority w:val="32"/>
    <w:qFormat/>
    <w:rsid w:val="00952D33"/>
    <w:rPr>
      <w:b/>
      <w:bCs/>
      <w:smallCaps/>
      <w:color w:val="0F4761" w:themeColor="accent1" w:themeShade="BF"/>
      <w:spacing w:val="5"/>
    </w:rPr>
  </w:style>
  <w:style w:type="paragraph" w:styleId="FootnoteText">
    <w:name w:val="footnote text"/>
    <w:basedOn w:val="Normal"/>
    <w:link w:val="FootnoteTextChar"/>
    <w:uiPriority w:val="99"/>
    <w:unhideWhenUsed/>
    <w:rsid w:val="00952D33"/>
    <w:pPr>
      <w:spacing w:after="120"/>
    </w:pPr>
    <w:rPr>
      <w:rFonts w:ascii="Times New Roman" w:hAnsi="Times New Roman" w:eastAsia="SimSun"/>
      <w:sz w:val="20"/>
      <w:szCs w:val="20"/>
    </w:rPr>
  </w:style>
  <w:style w:type="character" w:styleId="FootnoteTextChar" w:customStyle="1">
    <w:name w:val="Footnote Text Char"/>
    <w:basedOn w:val="DefaultParagraphFont"/>
    <w:link w:val="FootnoteText"/>
    <w:uiPriority w:val="99"/>
    <w:rsid w:val="00952D33"/>
    <w:rPr>
      <w:rFonts w:ascii="Times New Roman" w:hAnsi="Times New Roman" w:eastAsia="SimSun"/>
      <w:sz w:val="20"/>
      <w:szCs w:val="20"/>
      <w:lang w:val="fr-CA"/>
    </w:rPr>
  </w:style>
  <w:style w:type="character" w:styleId="FootnoteReference">
    <w:name w:val="footnote reference"/>
    <w:basedOn w:val="DefaultParagraphFont"/>
    <w:uiPriority w:val="99"/>
    <w:unhideWhenUsed/>
    <w:rsid w:val="00952D33"/>
    <w:rPr>
      <w:vertAlign w:val="superscript"/>
    </w:rPr>
  </w:style>
  <w:style w:type="paragraph" w:styleId="Paragraph" w:customStyle="1">
    <w:name w:val="Paragraph"/>
    <w:basedOn w:val="Normal"/>
    <w:qFormat/>
    <w:rsid w:val="00952D33"/>
    <w:pPr>
      <w:spacing w:after="120" w:line="276" w:lineRule="auto"/>
      <w:ind w:firstLine="567"/>
      <w:jc w:val="both"/>
    </w:pPr>
    <w:rPr>
      <w:rFonts w:ascii="Times New Roman" w:hAnsi="Times New Roman" w:eastAsia="SimSun"/>
    </w:rPr>
  </w:style>
  <w:style w:type="character" w:styleId="PageNumber">
    <w:name w:val="page number"/>
    <w:basedOn w:val="DefaultParagraphFont"/>
    <w:uiPriority w:val="99"/>
    <w:semiHidden/>
    <w:unhideWhenUsed/>
    <w:rsid w:val="0088700E"/>
  </w:style>
  <w:style w:type="paragraph" w:styleId="Revision">
    <w:name w:val="Revision"/>
    <w:hidden/>
    <w:uiPriority w:val="99"/>
    <w:semiHidden/>
    <w:rsid w:val="00D4564B"/>
    <w:rPr>
      <w:lang w:val="fr-CA"/>
    </w:rPr>
  </w:style>
  <w:style w:type="character" w:styleId="CommentReference">
    <w:name w:val="annotation reference"/>
    <w:basedOn w:val="DefaultParagraphFont"/>
    <w:uiPriority w:val="99"/>
    <w:semiHidden/>
    <w:unhideWhenUsed/>
    <w:rsid w:val="00982CEB"/>
    <w:rPr>
      <w:sz w:val="16"/>
      <w:szCs w:val="16"/>
    </w:rPr>
  </w:style>
  <w:style w:type="paragraph" w:styleId="CommentText">
    <w:name w:val="annotation text"/>
    <w:basedOn w:val="Normal"/>
    <w:link w:val="CommentTextChar"/>
    <w:uiPriority w:val="99"/>
    <w:semiHidden/>
    <w:unhideWhenUsed/>
    <w:rsid w:val="00982CEB"/>
    <w:rPr>
      <w:sz w:val="20"/>
      <w:szCs w:val="20"/>
    </w:rPr>
  </w:style>
  <w:style w:type="character" w:styleId="CommentTextChar" w:customStyle="1">
    <w:name w:val="Comment Text Char"/>
    <w:basedOn w:val="DefaultParagraphFont"/>
    <w:link w:val="CommentText"/>
    <w:uiPriority w:val="99"/>
    <w:semiHidden/>
    <w:rsid w:val="00982CEB"/>
    <w:rPr>
      <w:sz w:val="20"/>
      <w:szCs w:val="20"/>
      <w:lang w:val="fr-CA"/>
    </w:rPr>
  </w:style>
  <w:style w:type="paragraph" w:styleId="CommentSubject">
    <w:name w:val="annotation subject"/>
    <w:basedOn w:val="CommentText"/>
    <w:next w:val="CommentText"/>
    <w:link w:val="CommentSubjectChar"/>
    <w:uiPriority w:val="99"/>
    <w:semiHidden/>
    <w:unhideWhenUsed/>
    <w:rsid w:val="00982CEB"/>
    <w:rPr>
      <w:b/>
      <w:bCs/>
    </w:rPr>
  </w:style>
  <w:style w:type="character" w:styleId="CommentSubjectChar" w:customStyle="1">
    <w:name w:val="Comment Subject Char"/>
    <w:basedOn w:val="CommentTextChar"/>
    <w:link w:val="CommentSubject"/>
    <w:uiPriority w:val="99"/>
    <w:semiHidden/>
    <w:rsid w:val="00982CEB"/>
    <w:rPr>
      <w:b/>
      <w:bCs/>
      <w:sz w:val="20"/>
      <w:szCs w:val="20"/>
      <w:lang w:val="fr-CA"/>
    </w:rPr>
  </w:style>
  <w:style w:type="character" w:styleId="UnresolvedMention">
    <w:name w:val="Unresolved Mention"/>
    <w:basedOn w:val="DefaultParagraphFont"/>
    <w:uiPriority w:val="99"/>
    <w:semiHidden/>
    <w:unhideWhenUsed/>
    <w:rsid w:val="00BD3C30"/>
    <w:rPr>
      <w:color w:val="605E5C"/>
      <w:shd w:val="clear" w:color="auto" w:fill="E1DFDD"/>
    </w:rPr>
  </w:style>
  <w:style w:type="table" w:styleId="ListTable3-Accent1">
    <w:name w:val="List Table 3 Accent 1"/>
    <w:basedOn w:val="TableNormal"/>
    <w:uiPriority w:val="48"/>
    <w:rsid w:val="00313F42"/>
    <w:rPr>
      <w:rFonts w:eastAsiaTheme="minorEastAsia"/>
      <w:kern w:val="0"/>
      <w:lang w:eastAsia="zh-CN"/>
      <w14:ligatures w14:val="none"/>
    </w:r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0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E663073E20B4CBDF65C2E6BC403B8" ma:contentTypeVersion="10" ma:contentTypeDescription="Create a new document." ma:contentTypeScope="" ma:versionID="92cbbaea7f2e6019e343b334d28788a6">
  <xsd:schema xmlns:xsd="http://www.w3.org/2001/XMLSchema" xmlns:xs="http://www.w3.org/2001/XMLSchema" xmlns:p="http://schemas.microsoft.com/office/2006/metadata/properties" xmlns:ns2="b308a758-d8a4-47fe-a8be-7a585c606f81" targetNamespace="http://schemas.microsoft.com/office/2006/metadata/properties" ma:root="true" ma:fieldsID="b2579fc01a6472b5ac7334f1046cbb8d" ns2:_="">
    <xsd:import namespace="b308a758-d8a4-47fe-a8be-7a585c606f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8a758-d8a4-47fe-a8be-7a585c60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489762-de54-417b-aa3d-8bc484f7f1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8a758-d8a4-47fe-a8be-7a585c606f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E192C-E665-4BC1-B84A-7182886D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8a758-d8a4-47fe-a8be-7a585c606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83E00-4481-40C8-BBC8-2DA1D1F0F3B7}">
  <ds:schemaRefs>
    <ds:schemaRef ds:uri="http://schemas.microsoft.com/sharepoint/v3/contenttype/forms"/>
  </ds:schemaRefs>
</ds:datastoreItem>
</file>

<file path=customXml/itemProps3.xml><?xml version="1.0" encoding="utf-8"?>
<ds:datastoreItem xmlns:ds="http://schemas.openxmlformats.org/officeDocument/2006/customXml" ds:itemID="{C76634A1-CF11-4178-BDCD-34943F28DA1B}">
  <ds:schemaRefs>
    <ds:schemaRef ds:uri="http://schemas.microsoft.com/office/2006/metadata/properties"/>
    <ds:schemaRef ds:uri="http://schemas.microsoft.com/office/infopath/2007/PartnerControls"/>
    <ds:schemaRef ds:uri="b308a758-d8a4-47fe-a8be-7a585c606f81"/>
  </ds:schemaRefs>
</ds:datastoreItem>
</file>

<file path=customXml/itemProps4.xml><?xml version="1.0" encoding="utf-8"?>
<ds:datastoreItem xmlns:ds="http://schemas.openxmlformats.org/officeDocument/2006/customXml" ds:itemID="{EA1A7C40-E761-7948-939F-21CB4EF6BB2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 Graff</dc:creator>
  <keywords/>
  <dc:description/>
  <lastModifiedBy>Maryam Safi</lastModifiedBy>
  <revision>34</revision>
  <dcterms:created xsi:type="dcterms:W3CDTF">2025-01-26T16:07:00.0000000Z</dcterms:created>
  <dcterms:modified xsi:type="dcterms:W3CDTF">2026-01-30T23:39:00.7271128Z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0x010100405E663073E20B4CBDF65C2E6BC403B8</vt:lpwstr>
  </property>
</Properties>
</file>