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B51E" w14:textId="6DAF6407" w:rsidR="00C02286" w:rsidRPr="00CF26FB" w:rsidRDefault="00C02286" w:rsidP="00C02286">
      <w:pPr>
        <w:jc w:val="center"/>
        <w:rPr>
          <w:b/>
          <w:i/>
          <w:sz w:val="32"/>
        </w:rPr>
      </w:pPr>
      <w:r w:rsidRPr="00CF26FB">
        <w:rPr>
          <w:b/>
          <w:i/>
          <w:sz w:val="32"/>
        </w:rPr>
        <w:t>Ottawa Law Review</w:t>
      </w:r>
    </w:p>
    <w:p w14:paraId="5B4F2739" w14:textId="66B1DF8D" w:rsidR="00C02286" w:rsidRPr="00CF26FB" w:rsidRDefault="00CF26FB" w:rsidP="00C02286">
      <w:pPr>
        <w:jc w:val="center"/>
        <w:rPr>
          <w:b/>
          <w:sz w:val="28"/>
        </w:rPr>
      </w:pPr>
      <w:r w:rsidRPr="00CF26FB">
        <w:rPr>
          <w:b/>
          <w:sz w:val="28"/>
        </w:rPr>
        <w:t xml:space="preserve">Editing Exercise for </w:t>
      </w:r>
      <w:r>
        <w:rPr>
          <w:b/>
          <w:sz w:val="28"/>
        </w:rPr>
        <w:t>F</w:t>
      </w:r>
      <w:r w:rsidRPr="00CF26FB">
        <w:rPr>
          <w:b/>
          <w:sz w:val="28"/>
        </w:rPr>
        <w:t>uture Associate Editors</w:t>
      </w:r>
    </w:p>
    <w:p w14:paraId="5B789F75" w14:textId="23B3D0D4" w:rsidR="00C02286" w:rsidRPr="00CF26FB" w:rsidRDefault="00C02286" w:rsidP="00C02286">
      <w:pPr>
        <w:jc w:val="center"/>
        <w:rPr>
          <w:b/>
          <w:sz w:val="28"/>
        </w:rPr>
      </w:pPr>
      <w:r w:rsidRPr="00CF26FB">
        <w:rPr>
          <w:b/>
          <w:sz w:val="28"/>
        </w:rPr>
        <w:t>202</w:t>
      </w:r>
      <w:r w:rsidR="007F53EA">
        <w:rPr>
          <w:b/>
          <w:sz w:val="28"/>
        </w:rPr>
        <w:t>6</w:t>
      </w:r>
      <w:r w:rsidRPr="00CF26FB">
        <w:rPr>
          <w:b/>
          <w:sz w:val="28"/>
        </w:rPr>
        <w:t>–202</w:t>
      </w:r>
      <w:r w:rsidR="007F53EA">
        <w:rPr>
          <w:b/>
          <w:sz w:val="28"/>
        </w:rPr>
        <w:t>7</w:t>
      </w:r>
    </w:p>
    <w:p w14:paraId="724F27AD" w14:textId="1DEB9C3C" w:rsidR="00C02286" w:rsidRPr="00CF26FB" w:rsidRDefault="00C02286" w:rsidP="007344F7">
      <w:pPr>
        <w:jc w:val="center"/>
        <w:rPr>
          <w:b/>
        </w:rPr>
      </w:pPr>
      <w:r w:rsidRPr="00CF26FB">
        <w:rPr>
          <w:b/>
        </w:rPr>
        <w:t xml:space="preserve">PART I: </w:t>
      </w:r>
      <w:r w:rsidR="00CF26FB">
        <w:rPr>
          <w:b/>
        </w:rPr>
        <w:t>TEXT EDITS</w:t>
      </w:r>
    </w:p>
    <w:p w14:paraId="22359DAD" w14:textId="77777777" w:rsidR="00C02286" w:rsidRPr="0094622F" w:rsidRDefault="00C02286" w:rsidP="00C02286">
      <w:pPr>
        <w:jc w:val="center"/>
        <w:rPr>
          <w:b/>
        </w:rPr>
      </w:pPr>
    </w:p>
    <w:p w14:paraId="4E891461" w14:textId="5C2300A8" w:rsidR="000B4E4F" w:rsidRPr="000B4E4F" w:rsidRDefault="000B4E4F" w:rsidP="00C8434C">
      <w:pPr>
        <w:spacing w:after="240" w:line="480" w:lineRule="auto"/>
        <w:rPr>
          <w:b/>
          <w:bCs/>
        </w:rPr>
      </w:pPr>
      <w:r w:rsidRPr="3BBA9270">
        <w:rPr>
          <w:b/>
          <w:bCs/>
        </w:rPr>
        <w:t>I</w:t>
      </w:r>
      <w:r w:rsidR="00337B25" w:rsidRPr="3BBA9270">
        <w:rPr>
          <w:b/>
          <w:bCs/>
        </w:rPr>
        <w:t>.</w:t>
      </w:r>
      <w:r w:rsidRPr="3BBA9270">
        <w:rPr>
          <w:b/>
          <w:bCs/>
        </w:rPr>
        <w:t xml:space="preserve"> </w:t>
      </w:r>
      <w:r w:rsidR="002C4C01" w:rsidRPr="3BBA9270">
        <w:rPr>
          <w:b/>
          <w:bCs/>
        </w:rPr>
        <w:t xml:space="preserve">Crimmigration, Policy, and </w:t>
      </w:r>
      <w:r w:rsidR="002C4C01" w:rsidRPr="3BBA9270">
        <w:rPr>
          <w:b/>
          <w:bCs/>
          <w:i/>
          <w:iCs/>
        </w:rPr>
        <w:t>Charter</w:t>
      </w:r>
      <w:r w:rsidR="002C4C01" w:rsidRPr="3BBA9270">
        <w:rPr>
          <w:b/>
          <w:bCs/>
        </w:rPr>
        <w:t xml:space="preserve"> Rights Interpreted</w:t>
      </w:r>
    </w:p>
    <w:p w14:paraId="5A6F46C8" w14:textId="1B716EF6" w:rsidR="00337B25" w:rsidRPr="00337B25" w:rsidRDefault="007200FF" w:rsidP="00C8434C">
      <w:pPr>
        <w:spacing w:after="240" w:line="480" w:lineRule="auto"/>
        <w:rPr>
          <w:b/>
          <w:bCs/>
        </w:rPr>
      </w:pPr>
      <w:r>
        <w:rPr>
          <w:b/>
          <w:bCs/>
        </w:rPr>
        <w:t>1</w:t>
      </w:r>
      <w:r w:rsidR="000B4E4F" w:rsidRPr="000B4E4F">
        <w:rPr>
          <w:b/>
          <w:bCs/>
        </w:rPr>
        <w:t xml:space="preserve">. The Rise of “Crimmigration” </w:t>
      </w:r>
    </w:p>
    <w:p w14:paraId="4DDD1EA7" w14:textId="150070FF" w:rsidR="000B4E4F" w:rsidRPr="000B4E4F" w:rsidRDefault="000B4E4F" w:rsidP="00C8434C">
      <w:pPr>
        <w:spacing w:after="240" w:line="480" w:lineRule="auto"/>
        <w:ind w:firstLine="720"/>
      </w:pPr>
      <w:r w:rsidRPr="000B4E4F">
        <w:t>While the concept of inadmissibility and deportation laws targeting criminals is not new, it is unsurprising that the</w:t>
      </w:r>
      <w:r w:rsidR="003D0261">
        <w:t xml:space="preserve"> </w:t>
      </w:r>
      <w:r w:rsidRPr="000B4E4F">
        <w:t>“moralizing, penal, populist tone</w:t>
      </w:r>
      <w:r w:rsidR="00656B76">
        <w:t>’</w:t>
      </w:r>
      <w:r w:rsidR="003D0261">
        <w:t xml:space="preserve"> </w:t>
      </w:r>
      <w:r w:rsidR="000E1C24">
        <w:t xml:space="preserve">of </w:t>
      </w:r>
      <w:r w:rsidR="003D0261">
        <w:t xml:space="preserve">criminal law </w:t>
      </w:r>
      <w:r w:rsidR="000E1C24">
        <w:t xml:space="preserve">rhetoric in recent decades has shaped </w:t>
      </w:r>
      <w:r w:rsidRPr="000B4E4F">
        <w:t xml:space="preserve">immigration law to be viewed through the lens of </w:t>
      </w:r>
      <w:r w:rsidR="000E1C24">
        <w:t>“</w:t>
      </w:r>
      <w:r w:rsidR="000E1C24" w:rsidRPr="3BBA9270">
        <w:rPr>
          <w:i/>
          <w:iCs/>
        </w:rPr>
        <w:t>criminal</w:t>
      </w:r>
      <w:r w:rsidR="000E1C24">
        <w:t xml:space="preserve"> prohibitions” and “</w:t>
      </w:r>
      <w:r w:rsidR="000E1C24" w:rsidRPr="00CE01C9">
        <w:t>criminal</w:t>
      </w:r>
      <w:r w:rsidR="000E1C24">
        <w:t xml:space="preserve"> penalties”</w:t>
      </w:r>
      <w:r w:rsidR="00CE01C9">
        <w:t>.</w:t>
      </w:r>
      <w:r w:rsidRPr="000B4E4F">
        <w:rPr>
          <w:rStyle w:val="FootnoteReference"/>
        </w:rPr>
        <w:footnoteReference w:id="1"/>
      </w:r>
      <w:r w:rsidRPr="000B4E4F">
        <w:t xml:space="preserve"> This shift reflects a broader global trend of conflating immigration enforcement with crime control,</w:t>
      </w:r>
      <w:r w:rsidR="00FC0B7C">
        <w:t xml:space="preserve"> which</w:t>
      </w:r>
      <w:r w:rsidRPr="000B4E4F">
        <w:t xml:space="preserve"> emphasiz</w:t>
      </w:r>
      <w:r w:rsidR="00FC0B7C">
        <w:t>es</w:t>
      </w:r>
      <w:r w:rsidRPr="000B4E4F">
        <w:t xml:space="preserve"> punitive measures over administrative regulation. This trend was named “crimmigration” by Juliet Stumpf and describes a phenomenon where criminal law principles and enforcement mechanisms increasingly shape immigration policies</w:t>
      </w:r>
      <w:r w:rsidR="00AF05B6">
        <w:t>.</w:t>
      </w:r>
      <w:r w:rsidRPr="000B4E4F">
        <w:rPr>
          <w:rStyle w:val="FootnoteReference"/>
        </w:rPr>
        <w:footnoteReference w:id="2"/>
      </w:r>
      <w:r w:rsidR="00CE01C9">
        <w:t xml:space="preserve"> </w:t>
      </w:r>
      <w:r w:rsidRPr="000B4E4F">
        <w:t>“Crimmigration” is seen in the enforcement methods shared by immigration and criminal law as well as the procedural similarities in prosecuting immigration and criminal violations.</w:t>
      </w:r>
      <w:r w:rsidRPr="000B4E4F">
        <w:rPr>
          <w:rStyle w:val="FootnoteReference"/>
        </w:rPr>
        <w:footnoteReference w:id="3"/>
      </w:r>
      <w:r w:rsidRPr="000B4E4F">
        <w:t xml:space="preserve"> </w:t>
      </w:r>
    </w:p>
    <w:p w14:paraId="36EDCFF3" w14:textId="24674A5C" w:rsidR="000B4E4F" w:rsidRPr="000B4E4F" w:rsidRDefault="000B4E4F" w:rsidP="00C8434C">
      <w:pPr>
        <w:spacing w:after="240" w:line="480" w:lineRule="auto"/>
        <w:ind w:firstLine="720"/>
      </w:pPr>
      <w:r w:rsidRPr="000B4E4F">
        <w:t>This trend</w:t>
      </w:r>
      <w:r w:rsidR="00A075A3">
        <w:t xml:space="preserve"> </w:t>
      </w:r>
      <w:r w:rsidRPr="000B4E4F">
        <w:t xml:space="preserve"> is also reflected in the objectives of the </w:t>
      </w:r>
      <w:r w:rsidRPr="002A15F6">
        <w:rPr>
          <w:i/>
          <w:iCs/>
        </w:rPr>
        <w:t>I</w:t>
      </w:r>
      <w:r w:rsidR="002A15F6" w:rsidRPr="002A15F6">
        <w:rPr>
          <w:i/>
          <w:iCs/>
        </w:rPr>
        <w:t xml:space="preserve">mmigration </w:t>
      </w:r>
      <w:r w:rsidR="00D014FA">
        <w:rPr>
          <w:i/>
          <w:iCs/>
        </w:rPr>
        <w:t xml:space="preserve">and </w:t>
      </w:r>
      <w:r w:rsidR="002A15F6" w:rsidRPr="002A15F6">
        <w:rPr>
          <w:i/>
          <w:iCs/>
        </w:rPr>
        <w:t xml:space="preserve">Refugee Protection </w:t>
      </w:r>
      <w:r w:rsidR="002A15F6" w:rsidRPr="003D2D53">
        <w:rPr>
          <w:i/>
          <w:iCs/>
        </w:rPr>
        <w:t>Act</w:t>
      </w:r>
      <w:r w:rsidR="0094622F" w:rsidRPr="003D2D53">
        <w:t>,</w:t>
      </w:r>
      <w:r w:rsidRPr="003D2D53">
        <w:t xml:space="preserve"> </w:t>
      </w:r>
      <w:r w:rsidR="0094622F" w:rsidRPr="003D2D53">
        <w:t xml:space="preserve">which is </w:t>
      </w:r>
      <w:r w:rsidRPr="003D2D53">
        <w:t>to prioritize security and protect Canadian society from non-citizens who have engaged in criminal activity</w:t>
      </w:r>
      <w:r w:rsidRPr="000B4E4F">
        <w:t>.</w:t>
      </w:r>
      <w:bookmarkStart w:id="0" w:name="_Ref185288962"/>
      <w:r w:rsidRPr="000B4E4F">
        <w:rPr>
          <w:rStyle w:val="FootnoteReference"/>
        </w:rPr>
        <w:footnoteReference w:id="4"/>
      </w:r>
      <w:bookmarkEnd w:id="0"/>
      <w:r w:rsidRPr="000B4E4F">
        <w:t xml:space="preserve"> The objectives are directly expressed in </w:t>
      </w:r>
      <w:r w:rsidRPr="00BD2B1F">
        <w:t>IRPA</w:t>
      </w:r>
      <w:r w:rsidRPr="000B4E4F">
        <w:rPr>
          <w:i/>
          <w:iCs/>
        </w:rPr>
        <w:t xml:space="preserve"> </w:t>
      </w:r>
      <w:r w:rsidRPr="000B4E4F">
        <w:t xml:space="preserve">provisions that link </w:t>
      </w:r>
      <w:r w:rsidRPr="000B4E4F">
        <w:lastRenderedPageBreak/>
        <w:t>immigration status to criminal conduct and enforce consequences including forced relocation, detention, and even lifetime banishment.</w:t>
      </w:r>
      <w:r w:rsidRPr="000B4E4F">
        <w:rPr>
          <w:rStyle w:val="FootnoteReference"/>
        </w:rPr>
        <w:footnoteReference w:id="5"/>
      </w:r>
      <w:r w:rsidRPr="000B4E4F">
        <w:t xml:space="preserve"> </w:t>
      </w:r>
      <w:bookmarkStart w:id="1" w:name="_Hlk188716197"/>
      <w:r w:rsidR="00E31091">
        <w:t xml:space="preserve">For example, section 37(1)(a) of the </w:t>
      </w:r>
      <w:r w:rsidR="00E31091" w:rsidRPr="00BD2B1F">
        <w:t>IRPA</w:t>
      </w:r>
      <w:r w:rsidR="00E31091">
        <w:rPr>
          <w:i/>
          <w:iCs/>
        </w:rPr>
        <w:t xml:space="preserve"> </w:t>
      </w:r>
      <w:r w:rsidR="00E31091">
        <w:t>deems a non-citizen inadmissible based on a broad and ambiguous ground of membership in a criminal organization</w:t>
      </w:r>
      <w:bookmarkEnd w:id="1"/>
      <w:r w:rsidR="00E31091">
        <w:t>.</w:t>
      </w:r>
      <w:r w:rsidR="00E31091">
        <w:rPr>
          <w:rStyle w:val="FootnoteReference"/>
        </w:rPr>
        <w:footnoteReference w:id="6"/>
      </w:r>
      <w:r w:rsidR="00E31091">
        <w:t xml:space="preserve"> </w:t>
      </w:r>
      <w:r w:rsidRPr="000B4E4F">
        <w:t>The statutory regime governing deportation establishes a detailed system involving warrants, arrests, detention, detention reviews and the use of physical restraints.</w:t>
      </w:r>
      <w:r w:rsidRPr="000B4E4F">
        <w:rPr>
          <w:rStyle w:val="FootnoteReference"/>
        </w:rPr>
        <w:footnoteReference w:id="7"/>
      </w:r>
    </w:p>
    <w:p w14:paraId="5C4F6A9A" w14:textId="034A20F0" w:rsidR="000B4E4F" w:rsidRPr="0050004F" w:rsidRDefault="007200FF" w:rsidP="00C8434C">
      <w:pPr>
        <w:spacing w:after="240" w:line="480" w:lineRule="auto"/>
        <w:rPr>
          <w:b/>
          <w:bCs/>
          <w:i/>
          <w:iCs/>
        </w:rPr>
      </w:pPr>
      <w:r>
        <w:rPr>
          <w:b/>
          <w:bCs/>
        </w:rPr>
        <w:t>2</w:t>
      </w:r>
      <w:r w:rsidR="000B4E4F" w:rsidRPr="000B4E4F">
        <w:rPr>
          <w:b/>
          <w:bCs/>
        </w:rPr>
        <w:t xml:space="preserve">. </w:t>
      </w:r>
      <w:r w:rsidR="000B4E4F" w:rsidRPr="0050004F">
        <w:rPr>
          <w:b/>
          <w:bCs/>
          <w:i/>
          <w:iCs/>
        </w:rPr>
        <w:t>Deportation as “Non-</w:t>
      </w:r>
      <w:r w:rsidR="0022512E" w:rsidRPr="00514578">
        <w:rPr>
          <w:b/>
          <w:bCs/>
          <w:i/>
          <w:iCs/>
        </w:rPr>
        <w:t>p</w:t>
      </w:r>
      <w:r w:rsidR="000B4E4F" w:rsidRPr="0050004F">
        <w:rPr>
          <w:b/>
          <w:bCs/>
          <w:i/>
          <w:iCs/>
        </w:rPr>
        <w:t>enal”</w:t>
      </w:r>
    </w:p>
    <w:p w14:paraId="009D25B1" w14:textId="3EC90BF6" w:rsidR="000B4E4F" w:rsidRPr="000B4E4F" w:rsidRDefault="000B4E4F" w:rsidP="00C8434C">
      <w:pPr>
        <w:spacing w:after="240" w:line="480" w:lineRule="auto"/>
      </w:pPr>
      <w:r w:rsidRPr="000B4E4F">
        <w:t>Yet</w:t>
      </w:r>
      <w:r w:rsidR="007C2B4B">
        <w:t>,</w:t>
      </w:r>
      <w:r w:rsidRPr="000B4E4F">
        <w:t xml:space="preserve"> for the past century, Canadian jurisprudence has refused to classify deportation as a criminal or penal sanction. </w:t>
      </w:r>
      <w:r w:rsidR="00D54652">
        <w:t>This is particularly apparent in the</w:t>
      </w:r>
      <w:r w:rsidRPr="000B4E4F">
        <w:t xml:space="preserve"> seminal 1992 </w:t>
      </w:r>
      <w:r w:rsidRPr="000B4E4F">
        <w:rPr>
          <w:i/>
          <w:iCs/>
        </w:rPr>
        <w:t>Chiarelli</w:t>
      </w:r>
      <w:r w:rsidRPr="000B4E4F">
        <w:t xml:space="preserve"> decision</w:t>
      </w:r>
      <w:r w:rsidR="00C777DE">
        <w:t>, which confirmed the idea “that non-citizens do not have an unqualified right to enter</w:t>
      </w:r>
      <w:r w:rsidR="009F1D69">
        <w:t>”</w:t>
      </w:r>
      <w:r w:rsidR="00C777DE">
        <w:t xml:space="preserve"> or remain in Canada</w:t>
      </w:r>
      <w:r w:rsidRPr="000B4E4F">
        <w:t>.</w:t>
      </w:r>
      <w:r w:rsidR="00C777DE" w:rsidRPr="00A65DF9">
        <w:rPr>
          <w:rStyle w:val="FootnoteReference"/>
        </w:rPr>
        <w:footnoteReference w:id="8"/>
      </w:r>
      <w:r w:rsidRPr="000B4E4F">
        <w:t xml:space="preserve"> Writing for a unanimous Court, Sopin</w:t>
      </w:r>
      <w:r w:rsidR="0050004F">
        <w:t>c</w:t>
      </w:r>
      <w:r w:rsidRPr="000B4E4F">
        <w:t>a</w:t>
      </w:r>
      <w:r w:rsidR="00D54652">
        <w:t xml:space="preserve"> J</w:t>
      </w:r>
      <w:r w:rsidRPr="000B4E4F">
        <w:t xml:space="preserve"> held that Canada “</w:t>
      </w:r>
      <w:r w:rsidR="001C175E" w:rsidRPr="000B4E4F">
        <w:t xml:space="preserve">has the </w:t>
      </w:r>
      <w:r w:rsidRPr="000B4E4F">
        <w:t>right and duty to keep out and to expel aliens” because “</w:t>
      </w:r>
      <w:r w:rsidR="00CD3C42" w:rsidRPr="000B4E4F">
        <w:t xml:space="preserve">otherwise, </w:t>
      </w:r>
      <w:r w:rsidRPr="000B4E4F">
        <w:t>Canada could become a haven for criminals and others whom we legitimately do not wish to have among us”</w:t>
      </w:r>
      <w:r w:rsidR="000C25E3">
        <w:t>.</w:t>
      </w:r>
      <w:r w:rsidRPr="000B4E4F">
        <w:rPr>
          <w:rStyle w:val="FootnoteReference"/>
        </w:rPr>
        <w:footnoteReference w:id="9"/>
      </w:r>
      <w:r w:rsidRPr="000B4E4F">
        <w:t xml:space="preserve"> He stated that </w:t>
      </w:r>
      <w:r w:rsidR="000C25E3">
        <w:t>s.</w:t>
      </w:r>
      <w:r w:rsidRPr="000B4E4F">
        <w:t xml:space="preserve"> 6 of the </w:t>
      </w:r>
      <w:r w:rsidRPr="000B4E4F">
        <w:rPr>
          <w:i/>
          <w:iCs/>
        </w:rPr>
        <w:t xml:space="preserve">Charter </w:t>
      </w:r>
      <w:r w:rsidRPr="000B4E4F">
        <w:t>distinguishes between citizens and non-citizens regarding the right to enter and remain in Canada, thus granting Parliament the authority to regulate the presence of non</w:t>
      </w:r>
      <w:r w:rsidR="00656B76">
        <w:t xml:space="preserve"> </w:t>
      </w:r>
      <w:r w:rsidR="000C25E3">
        <w:t>c</w:t>
      </w:r>
      <w:r w:rsidRPr="000B4E4F">
        <w:t>itizens.</w:t>
      </w:r>
      <w:r w:rsidRPr="000B4E4F">
        <w:rPr>
          <w:rStyle w:val="FootnoteReference"/>
        </w:rPr>
        <w:footnoteReference w:id="10"/>
      </w:r>
      <w:r w:rsidRPr="000B4E4F">
        <w:t xml:space="preserve"> </w:t>
      </w:r>
      <w:r w:rsidR="003B3783">
        <w:t xml:space="preserve"> </w:t>
      </w:r>
      <w:r w:rsidRPr="000B4E4F">
        <w:t>In this context, Parliament’s imposition of conditions regarding criminality reflects it</w:t>
      </w:r>
      <w:r w:rsidR="00EF7397">
        <w:t>’</w:t>
      </w:r>
      <w:r w:rsidRPr="000B4E4F">
        <w:t>s “legitimate, non-arbitrary” decision to determine situations where “it is not in the public interest to allow non</w:t>
      </w:r>
      <w:r w:rsidR="00EB4C65">
        <w:t>-</w:t>
      </w:r>
      <w:r w:rsidRPr="000B4E4F">
        <w:t>citizen</w:t>
      </w:r>
      <w:r w:rsidR="000C25E3">
        <w:t>s</w:t>
      </w:r>
      <w:r w:rsidRPr="000B4E4F">
        <w:t xml:space="preserve"> to remain in the country</w:t>
      </w:r>
      <w:r w:rsidR="0003377A">
        <w:t>.</w:t>
      </w:r>
      <w:r w:rsidRPr="000B4E4F">
        <w:t>”</w:t>
      </w:r>
      <w:r w:rsidRPr="000B4E4F">
        <w:rPr>
          <w:rStyle w:val="FootnoteReference"/>
        </w:rPr>
        <w:footnoteReference w:id="11"/>
      </w:r>
      <w:r w:rsidRPr="000B4E4F">
        <w:t xml:space="preserve"> Because Chiarelli “deliberately violated an essential </w:t>
      </w:r>
      <w:r w:rsidRPr="000B4E4F">
        <w:lastRenderedPageBreak/>
        <w:t>condition under which</w:t>
      </w:r>
      <w:r w:rsidR="00260BB3" w:rsidRPr="000B4E4F">
        <w:t>”</w:t>
      </w:r>
      <w:r w:rsidRPr="000B4E4F">
        <w:t xml:space="preserve"> he was allowed to remain in Canada through his conviction, terminating that right did not breach fundamental justice.</w:t>
      </w:r>
      <w:r w:rsidRPr="000B4E4F">
        <w:rPr>
          <w:rStyle w:val="FootnoteReference"/>
        </w:rPr>
        <w:footnoteReference w:id="12"/>
      </w:r>
      <w:r w:rsidRPr="000B4E4F">
        <w:t xml:space="preserve"> According to Sopin</w:t>
      </w:r>
      <w:r w:rsidR="0050004F">
        <w:t>c</w:t>
      </w:r>
      <w:r w:rsidRPr="000B4E4F">
        <w:t>a</w:t>
      </w:r>
      <w:r w:rsidR="000C25E3">
        <w:t xml:space="preserve"> J.</w:t>
      </w:r>
      <w:r w:rsidRPr="000B4E4F">
        <w:t>, it was not necessary to consider the circumstances of the non-citizen or look at “other aggravating or mitigating circumstances</w:t>
      </w:r>
      <w:r w:rsidR="00C43FA1">
        <w:t>.</w:t>
      </w:r>
      <w:r w:rsidRPr="000B4E4F">
        <w:t>”</w:t>
      </w:r>
      <w:r w:rsidRPr="000B4E4F">
        <w:rPr>
          <w:rStyle w:val="FootnoteReference"/>
        </w:rPr>
        <w:footnoteReference w:id="13"/>
      </w:r>
      <w:r w:rsidRPr="000B4E4F">
        <w:t xml:space="preserve"> </w:t>
      </w:r>
    </w:p>
    <w:p w14:paraId="27BBAD7A" w14:textId="01FAB48B" w:rsidR="000B4E4F" w:rsidRPr="000B4E4F" w:rsidRDefault="000B4E4F" w:rsidP="00C8434C">
      <w:pPr>
        <w:spacing w:after="240" w:line="480" w:lineRule="auto"/>
        <w:ind w:firstLine="720"/>
        <w:jc w:val="both"/>
      </w:pPr>
      <w:r w:rsidRPr="000B4E4F">
        <w:t xml:space="preserve">This framing </w:t>
      </w:r>
      <w:r w:rsidR="00EF7397">
        <w:t>a</w:t>
      </w:r>
      <w:r w:rsidRPr="000B4E4F">
        <w:t xml:space="preserve">ffectively eliminated Chiarelli’s claims against the deportation under </w:t>
      </w:r>
      <w:r w:rsidR="00F91191">
        <w:t>s</w:t>
      </w:r>
      <w:r w:rsidRPr="000B4E4F">
        <w:t>s</w:t>
      </w:r>
      <w:r w:rsidR="00F91191">
        <w:t>.</w:t>
      </w:r>
      <w:r w:rsidRPr="000B4E4F">
        <w:t xml:space="preserve"> 7, 12, or 15 of the </w:t>
      </w:r>
      <w:r w:rsidRPr="000B4E4F">
        <w:rPr>
          <w:i/>
          <w:iCs/>
        </w:rPr>
        <w:t>Charter</w:t>
      </w:r>
      <w:r w:rsidRPr="000B4E4F">
        <w:t>.</w:t>
      </w:r>
      <w:r w:rsidR="003C5610">
        <w:rPr>
          <w:rStyle w:val="FootnoteReference"/>
        </w:rPr>
        <w:footnoteReference w:id="14"/>
      </w:r>
      <w:r w:rsidRPr="000B4E4F">
        <w:t xml:space="preserve"> By classifying deportation as a “termination of [a non-citizen’s] right to remain in Canada</w:t>
      </w:r>
      <w:r w:rsidR="00EF7397">
        <w:t>,</w:t>
      </w:r>
      <w:r w:rsidRPr="000B4E4F">
        <w:t>” it was not difficult for the Supreme Court to find that “deportation is not imposed as a punishment</w:t>
      </w:r>
      <w:r w:rsidR="00C43FA1">
        <w:t>.</w:t>
      </w:r>
      <w:r w:rsidRPr="000B4E4F">
        <w:t>”</w:t>
      </w:r>
      <w:bookmarkStart w:id="2" w:name="_Ref185418629"/>
      <w:r w:rsidRPr="000B4E4F">
        <w:rPr>
          <w:rStyle w:val="FootnoteReference"/>
        </w:rPr>
        <w:footnoteReference w:id="15"/>
      </w:r>
      <w:bookmarkEnd w:id="2"/>
      <w:r w:rsidRPr="000B4E4F">
        <w:t xml:space="preserve"> Based on these princip</w:t>
      </w:r>
      <w:r w:rsidR="00EF7397">
        <w:t>al</w:t>
      </w:r>
      <w:r w:rsidRPr="000B4E4F">
        <w:t>s, the Court conclud</w:t>
      </w:r>
      <w:r w:rsidR="00F67E21">
        <w:t>ed</w:t>
      </w:r>
      <w:r w:rsidRPr="000B4E4F">
        <w:t xml:space="preserve"> that allow</w:t>
      </w:r>
      <w:r w:rsidR="00F67E21">
        <w:t>ing</w:t>
      </w:r>
      <w:r w:rsidRPr="000B4E4F">
        <w:t xml:space="preserve"> a non-citizen who had violated a condition of his residence to remain in Canada </w:t>
      </w:r>
      <w:r w:rsidR="00F67E21">
        <w:t xml:space="preserve">would be more outrageous to </w:t>
      </w:r>
      <w:r w:rsidR="00426552">
        <w:t>c</w:t>
      </w:r>
      <w:r w:rsidR="00F67E21">
        <w:t>anadian “standards of decency” th</w:t>
      </w:r>
      <w:r w:rsidR="00077E97">
        <w:t>e</w:t>
      </w:r>
      <w:r w:rsidR="00F67E21">
        <w:t>n deporting him</w:t>
      </w:r>
      <w:r w:rsidRPr="000B4E4F">
        <w:t>.</w:t>
      </w:r>
      <w:r w:rsidRPr="000B4E4F">
        <w:rPr>
          <w:rStyle w:val="FootnoteReference"/>
        </w:rPr>
        <w:footnoteReference w:id="16"/>
      </w:r>
      <w:r w:rsidRPr="000B4E4F">
        <w:t xml:space="preserve"> The Court also dismissed the section 15 challenge</w:t>
      </w:r>
      <w:r w:rsidR="00E6164F">
        <w:t xml:space="preserve"> by</w:t>
      </w:r>
      <w:r w:rsidRPr="000B4E4F">
        <w:t xml:space="preserve"> reiterating that section 6 of the </w:t>
      </w:r>
      <w:r w:rsidRPr="000B4E4F">
        <w:rPr>
          <w:i/>
          <w:iCs/>
        </w:rPr>
        <w:t>Charter</w:t>
      </w:r>
      <w:r w:rsidRPr="000B4E4F">
        <w:t xml:space="preserve"> makes a distinction between citizens and non-citizens.</w:t>
      </w:r>
      <w:r w:rsidRPr="000B4E4F">
        <w:rPr>
          <w:rStyle w:val="FootnoteReference"/>
        </w:rPr>
        <w:footnoteReference w:id="17"/>
      </w:r>
      <w:r w:rsidRPr="000B4E4F">
        <w:t xml:space="preserve"> </w:t>
      </w:r>
    </w:p>
    <w:p w14:paraId="65FAE14F" w14:textId="0D76029E" w:rsidR="000B4E4F" w:rsidRPr="000B4E4F" w:rsidRDefault="000B4E4F" w:rsidP="00C8434C">
      <w:pPr>
        <w:spacing w:after="240" w:line="480" w:lineRule="auto"/>
      </w:pPr>
      <w:r w:rsidRPr="000B4E4F">
        <w:t>The decision did not attempt to balance the competing interests of the state and Chiarelli as an individual or comment on why deporting Chiarelli</w:t>
      </w:r>
      <w:r w:rsidR="0050004F">
        <w:t xml:space="preserve"> </w:t>
      </w:r>
      <w:r w:rsidR="00EF7397">
        <w:t>–</w:t>
      </w:r>
      <w:r w:rsidR="0050004F">
        <w:t xml:space="preserve"> </w:t>
      </w:r>
      <w:r w:rsidRPr="000B4E4F">
        <w:t xml:space="preserve">who had lived in Canada since he was </w:t>
      </w:r>
      <w:r w:rsidR="00F91191">
        <w:t>fifteen</w:t>
      </w:r>
      <w:r w:rsidR="0050004F">
        <w:t xml:space="preserve"> </w:t>
      </w:r>
      <w:r w:rsidR="00EF7397">
        <w:t>–</w:t>
      </w:r>
      <w:r w:rsidR="0050004F">
        <w:t xml:space="preserve"> </w:t>
      </w:r>
      <w:r w:rsidRPr="000B4E4F">
        <w:t>to Italy would not “outrage standards of decency</w:t>
      </w:r>
      <w:r w:rsidR="00F67E21">
        <w:t>.</w:t>
      </w:r>
      <w:r w:rsidRPr="000B4E4F">
        <w:t>”</w:t>
      </w:r>
      <w:r w:rsidRPr="000B4E4F">
        <w:rPr>
          <w:rStyle w:val="FootnoteReference"/>
        </w:rPr>
        <w:footnoteReference w:id="18"/>
      </w:r>
      <w:r w:rsidRPr="000B4E4F">
        <w:t xml:space="preserve"> It also passed over the equality rights argument very quickly and did not reference international human rights standards.</w:t>
      </w:r>
      <w:r w:rsidRPr="000B4E4F">
        <w:rPr>
          <w:rStyle w:val="FootnoteReference"/>
        </w:rPr>
        <w:footnoteReference w:id="19"/>
      </w:r>
    </w:p>
    <w:p w14:paraId="689CABC8" w14:textId="6AA91100" w:rsidR="00765657" w:rsidRDefault="00E6164F" w:rsidP="00C8434C">
      <w:pPr>
        <w:spacing w:after="240" w:line="480" w:lineRule="auto"/>
        <w:ind w:firstLine="720"/>
      </w:pPr>
      <w:r>
        <w:lastRenderedPageBreak/>
        <w:t xml:space="preserve">Following </w:t>
      </w:r>
      <w:r>
        <w:rPr>
          <w:i/>
          <w:iCs/>
        </w:rPr>
        <w:t xml:space="preserve">Chiarelli </w:t>
      </w:r>
      <w:r>
        <w:t xml:space="preserve">and subsequent jurisprudence, </w:t>
      </w:r>
      <w:r w:rsidR="000B4E4F" w:rsidRPr="000B4E4F">
        <w:t xml:space="preserve">the Federal Court of Appeal </w:t>
      </w:r>
      <w:r>
        <w:t>in 2019 held</w:t>
      </w:r>
      <w:r w:rsidR="000B4E4F" w:rsidRPr="000B4E4F">
        <w:t xml:space="preserve"> that a finding of inadmissibility does not engage section 7 of the </w:t>
      </w:r>
      <w:r w:rsidR="000B4E4F" w:rsidRPr="000B4E4F">
        <w:rPr>
          <w:i/>
          <w:iCs/>
        </w:rPr>
        <w:t>Charter</w:t>
      </w:r>
      <w:r>
        <w:t>.</w:t>
      </w:r>
      <w:r>
        <w:rPr>
          <w:rStyle w:val="FootnoteReference"/>
        </w:rPr>
        <w:footnoteReference w:id="20"/>
      </w:r>
      <w:r>
        <w:t xml:space="preserve"> </w:t>
      </w:r>
      <w:r w:rsidR="000B4E4F" w:rsidRPr="000B4E4F">
        <w:t>It should be noted that an immigration case can only reach the Federal Court of Appeal “if, in rendering judgment, the judge certifies that a serious question of general importance is involved and states the question</w:t>
      </w:r>
      <w:r w:rsidR="00F67E21">
        <w:t>.</w:t>
      </w:r>
      <w:r w:rsidR="000B4E4F" w:rsidRPr="000B4E4F">
        <w:t>”</w:t>
      </w:r>
      <w:r w:rsidR="000B4E4F" w:rsidRPr="000B4E4F">
        <w:rPr>
          <w:rStyle w:val="FootnoteReference"/>
        </w:rPr>
        <w:footnoteReference w:id="21"/>
      </w:r>
      <w:r w:rsidR="000B4E4F" w:rsidRPr="000B4E4F">
        <w:t xml:space="preserve"> The question </w:t>
      </w:r>
      <w:r w:rsidR="00F67E21">
        <w:t>“</w:t>
      </w:r>
      <w:r w:rsidR="000B4E4F" w:rsidRPr="000B4E4F">
        <w:t xml:space="preserve">must </w:t>
      </w:r>
      <w:r w:rsidR="00F67E21">
        <w:t xml:space="preserve">be </w:t>
      </w:r>
      <w:r w:rsidR="000B4E4F" w:rsidRPr="000B4E4F">
        <w:t>dispositive of the appeal</w:t>
      </w:r>
      <w:r w:rsidR="00F67E21">
        <w:t xml:space="preserve">, must </w:t>
      </w:r>
      <w:r w:rsidR="000B4E4F" w:rsidRPr="000B4E4F">
        <w:t xml:space="preserve">transcend the interests of the parties and </w:t>
      </w:r>
      <w:r w:rsidR="00F67E21">
        <w:t xml:space="preserve">must raise </w:t>
      </w:r>
      <w:r w:rsidR="000B4E4F" w:rsidRPr="000B4E4F">
        <w:t>an issue of broad significance or general importance</w:t>
      </w:r>
      <w:r w:rsidR="00F67E21">
        <w:t>.</w:t>
      </w:r>
      <w:r w:rsidR="000B4E4F" w:rsidRPr="000B4E4F">
        <w:t>”</w:t>
      </w:r>
      <w:r w:rsidR="000B4E4F" w:rsidRPr="000B4E4F">
        <w:rPr>
          <w:rStyle w:val="FootnoteReference"/>
        </w:rPr>
        <w:footnoteReference w:id="22"/>
      </w:r>
      <w:r w:rsidR="000B4E4F" w:rsidRPr="000B4E4F">
        <w:t xml:space="preserve"> It also must have been raised in and dealt with by the Federal Court, cannot be a reference question, and cannot be a question “whose answer turns on the unique facts of the case”.</w:t>
      </w:r>
      <w:r w:rsidR="000B4E4F" w:rsidRPr="000B4E4F">
        <w:rPr>
          <w:rStyle w:val="FootnoteReference"/>
        </w:rPr>
        <w:footnoteReference w:id="23"/>
      </w:r>
      <w:r w:rsidR="000B4E4F" w:rsidRPr="000B4E4F">
        <w:t xml:space="preserve"> Since </w:t>
      </w:r>
      <w:r w:rsidR="000B4E4F" w:rsidRPr="000B4E4F">
        <w:rPr>
          <w:i/>
          <w:iCs/>
        </w:rPr>
        <w:t xml:space="preserve">Chiarelli </w:t>
      </w:r>
      <w:r w:rsidR="000B4E4F" w:rsidRPr="000B4E4F">
        <w:t xml:space="preserve">is a judgment rendered by the </w:t>
      </w:r>
      <w:r w:rsidR="00EB4C65">
        <w:t>s</w:t>
      </w:r>
      <w:r w:rsidR="000B4E4F" w:rsidRPr="000B4E4F">
        <w:t xml:space="preserve">upreme </w:t>
      </w:r>
      <w:r w:rsidR="00EB4C65">
        <w:t>c</w:t>
      </w:r>
      <w:r w:rsidR="000B4E4F" w:rsidRPr="000B4E4F">
        <w:t>ourt, and lower courts cannot “ignore binding precedent” unless “a new legal issue is raised</w:t>
      </w:r>
      <w:r w:rsidR="003F04D5">
        <w:t>,</w:t>
      </w:r>
      <w:r w:rsidR="000B4E4F" w:rsidRPr="000B4E4F">
        <w:t xml:space="preserve"> or if there is a significant change in the circumstances or evidence”, it would be difficult for applicants to raise issues of broad significance.</w:t>
      </w:r>
      <w:r w:rsidR="000B4E4F" w:rsidRPr="000B4E4F">
        <w:rPr>
          <w:rStyle w:val="FootnoteReference"/>
        </w:rPr>
        <w:footnoteReference w:id="24"/>
      </w:r>
    </w:p>
    <w:p w14:paraId="5FF26326" w14:textId="4F3C8D26" w:rsidR="00D22602" w:rsidRDefault="000B4E4F" w:rsidP="00D10A04">
      <w:pPr>
        <w:spacing w:line="480" w:lineRule="auto"/>
        <w:ind w:firstLine="720"/>
      </w:pPr>
      <w:r w:rsidRPr="000B4E4F">
        <w:t xml:space="preserve">Consequently, there has only been </w:t>
      </w:r>
      <w:r w:rsidR="00EF7397">
        <w:t>twelve</w:t>
      </w:r>
      <w:r w:rsidRPr="000B4E4F">
        <w:t xml:space="preserve"> </w:t>
      </w:r>
      <w:r w:rsidRPr="000B4E4F">
        <w:rPr>
          <w:i/>
          <w:iCs/>
        </w:rPr>
        <w:t xml:space="preserve">Charter </w:t>
      </w:r>
      <w:r w:rsidRPr="000B4E4F">
        <w:t>related immigration cases heard by the Federal Court of Appeal since January 2020.</w:t>
      </w:r>
      <w:r w:rsidRPr="000B4E4F">
        <w:rPr>
          <w:rStyle w:val="FootnoteReference"/>
        </w:rPr>
        <w:footnoteReference w:id="25"/>
      </w:r>
      <w:r w:rsidRPr="000B4E4F">
        <w:t xml:space="preserve"> Out of the </w:t>
      </w:r>
      <w:r w:rsidR="00EF7397">
        <w:t>twelve</w:t>
      </w:r>
      <w:r w:rsidRPr="000B4E4F">
        <w:t xml:space="preserve">, only two of the appeals were allowed: </w:t>
      </w:r>
      <w:r w:rsidRPr="000B4E4F">
        <w:rPr>
          <w:i/>
          <w:iCs/>
        </w:rPr>
        <w:t>Canada (Citizenship and Immigration) v Mason</w:t>
      </w:r>
      <w:r w:rsidR="00F1199C" w:rsidRPr="00F1199C">
        <w:rPr>
          <w:i/>
          <w:iCs/>
        </w:rPr>
        <w:t>,</w:t>
      </w:r>
      <w:r w:rsidR="00F1199C" w:rsidRPr="00F1199C">
        <w:rPr>
          <w:rStyle w:val="FootnoteReference"/>
        </w:rPr>
        <w:footnoteReference w:id="26"/>
      </w:r>
      <w:r w:rsidRPr="00F1199C">
        <w:t xml:space="preserve"> </w:t>
      </w:r>
      <w:r w:rsidRPr="000B4E4F">
        <w:t xml:space="preserve">and </w:t>
      </w:r>
      <w:r w:rsidRPr="000B4E4F">
        <w:rPr>
          <w:i/>
          <w:iCs/>
        </w:rPr>
        <w:t>Canada (Citizenship and Immigration) v Canadian Council for Refugees</w:t>
      </w:r>
      <w:r w:rsidRPr="000B4E4F">
        <w:t>.</w:t>
      </w:r>
      <w:r w:rsidRPr="000B4E4F">
        <w:rPr>
          <w:rStyle w:val="FootnoteReference"/>
        </w:rPr>
        <w:footnoteReference w:id="27"/>
      </w:r>
      <w:r w:rsidRPr="000B4E4F">
        <w:t xml:space="preserve"> Therefore</w:t>
      </w:r>
      <w:r w:rsidR="00765657">
        <w:t xml:space="preserve"> the</w:t>
      </w:r>
      <w:r w:rsidRPr="000B4E4F">
        <w:t xml:space="preserve"> </w:t>
      </w:r>
      <w:r w:rsidRPr="000B4E4F">
        <w:rPr>
          <w:i/>
          <w:iCs/>
        </w:rPr>
        <w:t>Revell</w:t>
      </w:r>
      <w:r w:rsidR="00765657">
        <w:t xml:space="preserve"> decision </w:t>
      </w:r>
      <w:r w:rsidRPr="000B4E4F">
        <w:t xml:space="preserve">was one of the last cases heard by the Federal Court of Appeal on the topic of </w:t>
      </w:r>
      <w:r w:rsidRPr="00F91191">
        <w:t>Charter</w:t>
      </w:r>
      <w:r w:rsidRPr="000B4E4F">
        <w:rPr>
          <w:i/>
          <w:iCs/>
        </w:rPr>
        <w:t xml:space="preserve"> </w:t>
      </w:r>
      <w:r w:rsidRPr="000B4E4F">
        <w:t>rights in deportation proceedings. It was denied leave by the Supreme Court.</w:t>
      </w:r>
      <w:r w:rsidRPr="000B4E4F">
        <w:rPr>
          <w:rStyle w:val="FootnoteReference"/>
        </w:rPr>
        <w:footnoteReference w:id="28"/>
      </w:r>
      <w:r w:rsidRPr="000B4E4F">
        <w:t xml:space="preserve"> </w:t>
      </w:r>
    </w:p>
    <w:p w14:paraId="2E5571B1" w14:textId="77777777" w:rsidR="00F408C1" w:rsidRDefault="00F408C1" w:rsidP="00FC0B7C">
      <w:pPr>
        <w:spacing w:line="480" w:lineRule="auto"/>
        <w:sectPr w:rsidR="00F408C1">
          <w:footerReference w:type="even" r:id="rId11"/>
          <w:footerReference w:type="default" r:id="rId12"/>
          <w:pgSz w:w="12240" w:h="15840"/>
          <w:pgMar w:top="1701" w:right="1440" w:bottom="1440" w:left="1440" w:header="720" w:footer="720" w:gutter="0"/>
          <w:cols w:space="720"/>
          <w:docGrid w:linePitch="360"/>
        </w:sectPr>
      </w:pPr>
    </w:p>
    <w:p w14:paraId="547EFF95" w14:textId="56D9EEF2" w:rsidR="00F408C1" w:rsidRDefault="00F408C1" w:rsidP="00F408C1">
      <w:pPr>
        <w:jc w:val="center"/>
        <w:rPr>
          <w:b/>
        </w:rPr>
      </w:pPr>
      <w:r w:rsidRPr="00CF26FB">
        <w:rPr>
          <w:b/>
        </w:rPr>
        <w:lastRenderedPageBreak/>
        <w:t>PART I</w:t>
      </w:r>
      <w:r>
        <w:rPr>
          <w:b/>
        </w:rPr>
        <w:t>I</w:t>
      </w:r>
      <w:r w:rsidRPr="00CF26FB">
        <w:rPr>
          <w:b/>
        </w:rPr>
        <w:t xml:space="preserve">: </w:t>
      </w:r>
      <w:r>
        <w:rPr>
          <w:b/>
        </w:rPr>
        <w:t>FOOTNOTE EDITS</w:t>
      </w:r>
    </w:p>
    <w:p w14:paraId="70040F0E" w14:textId="033D7CA8" w:rsidR="00F408C1" w:rsidRDefault="00466CD2" w:rsidP="00F408C1">
      <w:pPr>
        <w:rPr>
          <w:b/>
        </w:rPr>
      </w:pPr>
      <w:r w:rsidRPr="00C50C31">
        <w:rPr>
          <w:i/>
          <w:iCs/>
          <w:noProof/>
          <w:color w:val="000000"/>
          <w:sz w:val="20"/>
          <w:szCs w:val="20"/>
          <w:shd w:val="clear" w:color="auto" w:fill="FFFF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D18C0" wp14:editId="3AB77E3C">
                <wp:simplePos x="0" y="0"/>
                <wp:positionH relativeFrom="margin">
                  <wp:posOffset>-1178433</wp:posOffset>
                </wp:positionH>
                <wp:positionV relativeFrom="margin">
                  <wp:posOffset>4228973</wp:posOffset>
                </wp:positionV>
                <wp:extent cx="1988820" cy="3263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8882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AE08D" w14:textId="77777777" w:rsidR="00466CD2" w:rsidRPr="00D268F1" w:rsidRDefault="00466CD2" w:rsidP="00466CD2">
                            <w:pPr>
                              <w:rPr>
                                <w:rFonts w:ascii="Arial Black" w:hAnsi="Arial Black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 w:themeColor="background1" w:themeShade="80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1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2.8pt;margin-top:333pt;width:156.6pt;height:25.7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r7x/wEAANwDAAAOAAAAZHJzL2Uyb0RvYy54bWysU9uO2jAQfa/Uf7D8XgIsUIgIq+1ut6q0&#13;&#10;vUi7/QDjOMSq7XHHhoR+fccOAtS+rZoHy86Mz5xzZry+7a1hB4VBg6v4ZDTmTDkJtXa7iv94eXy3&#13;&#10;5CxE4WphwKmKH1Xgt5u3b9adL9UUWjC1QkYgLpSdr3gboy+LIshWWRFG4JWjYANoRaQj7ooaRUfo&#13;&#10;1hTT8XhRdIC1R5AqBPr7MAT5JuM3jZLxW9MEFZmpOHGLecW8btNabNai3KHwrZYnGuIVLKzQjoqe&#13;&#10;oR5EFGyP+h8oqyVCgCaOJNgCmkZLlTWQmsn4LzXPrfAqayFzgj/bFP4frPx6ePbfkcX+A/TUwCwi&#13;&#10;+CeQPwNzcN8Kt1N3iNC1StRUeJIsKzofytPVZHUoQwLZdl+gpiaLfYQM1DdoGQK5PllQt+jLv0k2&#13;&#10;o2LUj+O5B6qPTCYGq+VyOaWQpNjNdHGzyk0qRJnAksUeQ/ykwLK0qThSjzOqODyFmMhdUlK6g0dt&#13;&#10;TO6zcayr+Go+necLVxGrI42h0bbiy4FnvpA0f3R13kehzbCnAsadTEi6Bwdiv+0pMZmxhfpIdmTh&#13;&#10;pISeB/FsAX9z1tGoVTz82gtUnJnPjixdTWazNJv5MJu/T+rxOrK9jggnCarikbNhex/zPA9a78j6&#13;&#10;RmcbLkxOXGmEsjuncU8zen3OWZdHufkDAAD//wMAUEsDBBQABgAIAAAAIQC0VjXe4AAAAA8BAAAP&#13;&#10;AAAAZHJzL2Rvd25yZXYueG1sTE9NT4NAEL2b+B82Y+LF0KVSlFCWRm1MvBb1vmWnQGRnCbst8O8d&#13;&#10;T/Yyycu8z2I3215ccPSdIwXrVQwCqXamo0bB1+d7lIHwQZPRvSNUsKCHXXl7U+jcuIkOeKlCI9iE&#13;&#10;fK4VtCEMuZS+btFqv3IDEv9ObrQ6MBwbaUY9sbnt5WMcP0mrO+KEVg/41mL9U52tgrAPnTPfD/HJ&#13;&#10;Hab0dfmovLSLUvd3837L52ULIuAc/hXwt4H7Q8nFju5MxoteQZRunpmqIE3SNQhmREkC4qgg22QJ&#13;&#10;yLKQ1zvKXwAAAP//AwBQSwECLQAUAAYACAAAACEAtoM4kv4AAADhAQAAEwAAAAAAAAAAAAAAAAAA&#13;&#10;AAAAW0NvbnRlbnRfVHlwZXNdLnhtbFBLAQItABQABgAIAAAAIQA4/SH/1gAAAJQBAAALAAAAAAAA&#13;&#10;AAAAAAAAAC8BAABfcmVscy8ucmVsc1BLAQItABQABgAIAAAAIQAxBr7x/wEAANwDAAAOAAAAAAAA&#13;&#10;AAAAAAAAAC4CAABkcnMvZTJvRG9jLnhtbFBLAQItABQABgAIAAAAIQC0VjXe4AAAAA8BAAAPAAAA&#13;&#10;AAAAAAAAAAAAAFkEAABkcnMvZG93bnJldi54bWxQSwUGAAAAAAQABADzAAAAZgUAAAAA&#13;&#10;" filled="f" stroked="f">
                <v:textbox>
                  <w:txbxContent>
                    <w:p w14:paraId="535AE08D" w14:textId="77777777" w:rsidR="00466CD2" w:rsidRPr="00D268F1" w:rsidRDefault="00466CD2" w:rsidP="00466CD2">
                      <w:pPr>
                        <w:rPr>
                          <w:rFonts w:ascii="Arial Black" w:hAnsi="Arial Black"/>
                          <w:color w:val="808080" w:themeColor="background1" w:themeShade="80"/>
                        </w:rPr>
                      </w:pPr>
                      <w:r>
                        <w:rPr>
                          <w:rFonts w:ascii="Arial Black" w:hAnsi="Arial Black"/>
                          <w:color w:val="808080" w:themeColor="background1" w:themeShade="80"/>
                        </w:rPr>
                        <w:t>EXAMPLE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14188" w:type="dxa"/>
        <w:tblLook w:val="04A0" w:firstRow="1" w:lastRow="0" w:firstColumn="1" w:lastColumn="0" w:noHBand="0" w:noVBand="1"/>
      </w:tblPr>
      <w:tblGrid>
        <w:gridCol w:w="972"/>
        <w:gridCol w:w="3276"/>
        <w:gridCol w:w="3084"/>
        <w:gridCol w:w="3379"/>
        <w:gridCol w:w="3477"/>
      </w:tblGrid>
      <w:tr w:rsidR="00F408C1" w14:paraId="085749DA" w14:textId="77777777" w:rsidTr="00F408C1">
        <w:trPr>
          <w:trHeight w:val="421"/>
        </w:trPr>
        <w:tc>
          <w:tcPr>
            <w:tcW w:w="14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282A095" w14:textId="38E6CE58" w:rsidR="00F408C1" w:rsidRDefault="00F408C1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  <w:tr w:rsidR="00F408C1" w14:paraId="6EB8193E" w14:textId="77777777" w:rsidTr="00F408C1">
        <w:trPr>
          <w:trHeight w:val="414"/>
        </w:trPr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F001A"/>
            <w:vAlign w:val="center"/>
            <w:hideMark/>
          </w:tcPr>
          <w:p w14:paraId="17B8F2E2" w14:textId="77777777" w:rsidR="00F408C1" w:rsidRDefault="00F408C1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FN #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F001A"/>
            <w:vAlign w:val="center"/>
            <w:hideMark/>
          </w:tcPr>
          <w:p w14:paraId="2D4A94E8" w14:textId="77777777" w:rsidR="00F408C1" w:rsidRDefault="00F408C1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Original version of FN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F001A"/>
            <w:vAlign w:val="center"/>
            <w:hideMark/>
          </w:tcPr>
          <w:p w14:paraId="213F42BA" w14:textId="77777777" w:rsidR="00F408C1" w:rsidRDefault="00F408C1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Comments and </w:t>
            </w:r>
            <w:r>
              <w:rPr>
                <w:b/>
                <w:bCs/>
                <w:i/>
                <w:iCs/>
                <w:color w:val="FFFFFF"/>
              </w:rPr>
              <w:t xml:space="preserve">McGill Guide </w:t>
            </w:r>
            <w:r>
              <w:rPr>
                <w:b/>
                <w:bCs/>
                <w:color w:val="FFFFFF"/>
              </w:rPr>
              <w:t>justifications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F001A"/>
            <w:vAlign w:val="center"/>
            <w:hideMark/>
          </w:tcPr>
          <w:p w14:paraId="12EFA720" w14:textId="77777777" w:rsidR="00F408C1" w:rsidRDefault="00F408C1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Revised Version of FN, with changes in red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F001A"/>
            <w:vAlign w:val="center"/>
            <w:hideMark/>
          </w:tcPr>
          <w:p w14:paraId="0EEB2A07" w14:textId="77777777" w:rsidR="00F408C1" w:rsidRDefault="00F408C1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Is the proposition in the article supported by the cited source? Is the reference to the source general or specific?</w:t>
            </w:r>
          </w:p>
        </w:tc>
      </w:tr>
      <w:tr w:rsidR="00F408C1" w14:paraId="1128FA9E" w14:textId="77777777" w:rsidTr="00F408C1">
        <w:trPr>
          <w:trHeight w:val="427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D6366" w14:textId="3D168C59" w:rsidR="00F408C1" w:rsidRDefault="00F408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Footnote #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B0DE8" w14:textId="7A65A291" w:rsidR="00F408C1" w:rsidRDefault="00F408C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Orginal footnote found in article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14C8F" w14:textId="3E9F6048" w:rsidR="00F408C1" w:rsidRDefault="00F408C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McGill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Section, Title of Section in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McGill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- Short description of changes made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*Note: To create a new line of text inside a cell (as shown below):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1. Double-click the cell in which you want to insert a line break.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2. Click the location inside the selected cell where you want to break the line.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3. Use these keyboard shortcuts: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- MAC: Control + Option + Return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- WINDOWS: Alt + Enter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2C42B" w14:textId="77777777" w:rsidR="00F408C1" w:rsidRDefault="00F408C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Revised version of footnote with changes in </w:t>
            </w:r>
            <w:r>
              <w:rPr>
                <w:b/>
                <w:bCs/>
                <w:color w:val="FF0000"/>
                <w:sz w:val="20"/>
                <w:szCs w:val="20"/>
              </w:rPr>
              <w:t>red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Do 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NOT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edit the footnote directly in the article. 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C84A1" w14:textId="77777777" w:rsidR="00F408C1" w:rsidRDefault="00F408C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Yes or no. Specific reference or general reference</w:t>
            </w:r>
          </w:p>
        </w:tc>
      </w:tr>
      <w:tr w:rsidR="00F408C1" w14:paraId="38B1F7FC" w14:textId="77777777" w:rsidTr="00F408C1">
        <w:trPr>
          <w:trHeight w:val="266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48FA" w14:textId="77777777" w:rsidR="00F408C1" w:rsidRDefault="00F408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86E6" w14:textId="77777777" w:rsidR="00F408C1" w:rsidRDefault="00F408C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R. v. Oakes</w:t>
            </w:r>
            <w:r>
              <w:rPr>
                <w:color w:val="000000"/>
                <w:sz w:val="20"/>
                <w:szCs w:val="20"/>
              </w:rPr>
              <w:t>, 26 D.L.R. (4th) 200 at para 69.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E492" w14:textId="77777777" w:rsidR="00F408C1" w:rsidRDefault="00F408C1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McGill</w:t>
            </w:r>
            <w:r>
              <w:rPr>
                <w:color w:val="000000"/>
                <w:sz w:val="20"/>
                <w:szCs w:val="20"/>
              </w:rPr>
              <w:t xml:space="preserve">, 3.3, Style of Cause: </w:t>
            </w:r>
            <w:r>
              <w:rPr>
                <w:color w:val="000000"/>
                <w:sz w:val="20"/>
                <w:szCs w:val="20"/>
              </w:rPr>
              <w:br/>
              <w:t>- Periods removed from style of cause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>McGill</w:t>
            </w:r>
            <w:r>
              <w:rPr>
                <w:color w:val="000000"/>
                <w:sz w:val="20"/>
                <w:szCs w:val="20"/>
              </w:rPr>
              <w:t xml:space="preserve">, 3.1, Sources: </w:t>
            </w:r>
            <w:r>
              <w:rPr>
                <w:color w:val="000000"/>
                <w:sz w:val="20"/>
                <w:szCs w:val="20"/>
              </w:rPr>
              <w:br/>
              <w:t>- CanLII citation is missing, added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20"/>
                <w:szCs w:val="20"/>
              </w:rPr>
              <w:t>McGill</w:t>
            </w:r>
            <w:r>
              <w:rPr>
                <w:color w:val="000000"/>
                <w:sz w:val="20"/>
                <w:szCs w:val="20"/>
              </w:rPr>
              <w:t>, 3.6.1, Pinpoint:</w:t>
            </w:r>
            <w:r>
              <w:rPr>
                <w:color w:val="000000"/>
                <w:sz w:val="20"/>
                <w:szCs w:val="20"/>
              </w:rPr>
              <w:br/>
              <w:t>- Pinpoint was incorrect, correct pinpoint added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85AA" w14:textId="77777777" w:rsidR="00F408C1" w:rsidRDefault="00F408C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R v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Oakes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1986 CanLII 46 at 138–39 (SCC)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8F51" w14:textId="77777777" w:rsidR="00F408C1" w:rsidRDefault="00F408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Yes. Specific reference</w:t>
            </w:r>
          </w:p>
        </w:tc>
      </w:tr>
      <w:tr w:rsidR="00F408C1" w:rsidRPr="00E24552" w14:paraId="51181A42" w14:textId="77777777" w:rsidTr="00F408C1">
        <w:trPr>
          <w:trHeight w:val="6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3450F" w14:textId="7F454335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0101" w14:textId="69CC0978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sz w:val="20"/>
                <w:szCs w:val="20"/>
              </w:rPr>
              <w:t>Sharryn Aiken et al, “Introduction: ‘Crimmigration, Surveillance and Security Threats’: A Multidisciplinary Dialogue” (2014) 40 Queen’s LJ i at iii.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51D1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7939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3F53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5170266F" w14:textId="77777777" w:rsidTr="00F408C1">
        <w:trPr>
          <w:trHeight w:val="6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43E47" w14:textId="140DC2E9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lastRenderedPageBreak/>
              <w:t>2</w:t>
            </w:r>
            <w:r w:rsidR="00F408C1"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FDA4" w14:textId="539438DA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sz w:val="20"/>
                <w:szCs w:val="20"/>
              </w:rPr>
              <w:t>Asha Kaushal</w:t>
            </w:r>
            <w:r w:rsidRPr="00E24552">
              <w:rPr>
                <w:i/>
                <w:iCs/>
                <w:sz w:val="20"/>
                <w:szCs w:val="20"/>
              </w:rPr>
              <w:t>,</w:t>
            </w:r>
            <w:r w:rsidRPr="00E24552">
              <w:rPr>
                <w:sz w:val="20"/>
                <w:szCs w:val="20"/>
              </w:rPr>
              <w:t xml:space="preserve"> “The Webbing of Public Law: Looking Through Deportation Doctrine” (2020) 59:2 OHLJ 291 at 303 [Kaushal].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39DF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E9D2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ECD8C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7271BDCA" w14:textId="77777777" w:rsidTr="00F408C1">
        <w:trPr>
          <w:trHeight w:val="6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6177" w14:textId="3AB5A37C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F6B5" w14:textId="7855F17D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Ibid</w:t>
            </w:r>
            <w:r w:rsidRPr="00E24552">
              <w:rPr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6DD8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ED7C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64BE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1C1E9318" w14:textId="77777777" w:rsidTr="00E24552">
        <w:trPr>
          <w:trHeight w:val="2259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D663" w14:textId="654D9836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BF0" w14:textId="3E9BB7BF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Immigration and Refugee Protection Act</w:t>
            </w:r>
            <w:r w:rsidRPr="00E24552">
              <w:rPr>
                <w:sz w:val="20"/>
                <w:szCs w:val="20"/>
                <w:lang w:val="en-US"/>
              </w:rPr>
              <w:t>, SC 2001, c 27, ss. 3(h)–(i) [</w:t>
            </w:r>
            <w:r w:rsidRPr="00E24552">
              <w:rPr>
                <w:i/>
                <w:iCs/>
                <w:sz w:val="20"/>
                <w:szCs w:val="20"/>
                <w:lang w:val="en-US"/>
              </w:rPr>
              <w:t>IRPA</w:t>
            </w:r>
            <w:r w:rsidRPr="00E24552">
              <w:rPr>
                <w:sz w:val="20"/>
                <w:szCs w:val="20"/>
                <w:lang w:val="en-US"/>
              </w:rPr>
              <w:t xml:space="preserve">]; </w:t>
            </w:r>
            <w:r w:rsidRPr="00E24552">
              <w:rPr>
                <w:i/>
                <w:iCs/>
                <w:sz w:val="20"/>
                <w:szCs w:val="20"/>
              </w:rPr>
              <w:t xml:space="preserve">Medovarski v Canada </w:t>
            </w:r>
            <w:r w:rsidRPr="00E24552">
              <w:rPr>
                <w:sz w:val="20"/>
                <w:szCs w:val="20"/>
              </w:rPr>
              <w:t>(</w:t>
            </w:r>
            <w:r w:rsidRPr="00E24552">
              <w:rPr>
                <w:i/>
                <w:iCs/>
                <w:sz w:val="20"/>
                <w:szCs w:val="20"/>
              </w:rPr>
              <w:t>Minister of Citizenship and Immigration),</w:t>
            </w:r>
            <w:r w:rsidRPr="00E24552">
              <w:rPr>
                <w:sz w:val="20"/>
                <w:szCs w:val="20"/>
              </w:rPr>
              <w:t xml:space="preserve"> 2005 SCC 51 at para 10</w:t>
            </w:r>
            <w:r w:rsidR="00A123AC">
              <w:rPr>
                <w:sz w:val="20"/>
                <w:szCs w:val="20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03F7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E309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B4F9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011B976D" w14:textId="77777777" w:rsidTr="00E24552">
        <w:trPr>
          <w:trHeight w:val="17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C301" w14:textId="640B5F4E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DB8D" w14:textId="653CAA2A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sz w:val="20"/>
                <w:szCs w:val="20"/>
              </w:rPr>
              <w:t xml:space="preserve">See e.g., </w:t>
            </w:r>
            <w:r w:rsidRPr="00E24552">
              <w:rPr>
                <w:i/>
                <w:iCs/>
                <w:sz w:val="20"/>
                <w:szCs w:val="20"/>
              </w:rPr>
              <w:t>IRPA</w:t>
            </w:r>
            <w:r w:rsidRPr="00E24552">
              <w:rPr>
                <w:sz w:val="20"/>
                <w:szCs w:val="20"/>
              </w:rPr>
              <w:t xml:space="preserve">,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4, ss 36–37. See also Daniel Kanstroom, “Deportation, Social Control, and Punishment: Some Thoughts About Why </w:t>
            </w:r>
            <w:r w:rsidRPr="00E24552">
              <w:rPr>
                <w:sz w:val="20"/>
                <w:szCs w:val="20"/>
                <w:lang w:val="en-US"/>
              </w:rPr>
              <w:t>Hard Laws Make Bad Cases” (2000) 113 Harv L Rev 1889 at 1894.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700F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E65D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3B73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58F54981" w14:textId="77777777" w:rsidTr="00F408C1">
        <w:trPr>
          <w:trHeight w:val="6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F29D" w14:textId="235420E2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1313" w14:textId="6358FC00" w:rsidR="00E24552" w:rsidRPr="00E24552" w:rsidRDefault="00E24552" w:rsidP="00E24552">
            <w:pPr>
              <w:pStyle w:val="FootnoteText"/>
              <w:rPr>
                <w:rFonts w:ascii="Times New Roman" w:hAnsi="Times New Roman" w:cs="Times New Roman"/>
              </w:rPr>
            </w:pPr>
            <w:r w:rsidRPr="00E24552">
              <w:rPr>
                <w:rFonts w:ascii="Times New Roman" w:hAnsi="Times New Roman" w:cs="Times New Roman"/>
                <w:i/>
                <w:iCs/>
              </w:rPr>
              <w:t>IRPA</w:t>
            </w:r>
            <w:r w:rsidRPr="00E24552">
              <w:rPr>
                <w:rFonts w:ascii="Times New Roman" w:hAnsi="Times New Roman" w:cs="Times New Roman"/>
              </w:rPr>
              <w:t xml:space="preserve">, </w:t>
            </w:r>
            <w:r w:rsidRPr="00E24552">
              <w:rPr>
                <w:rFonts w:ascii="Times New Roman" w:hAnsi="Times New Roman" w:cs="Times New Roman"/>
                <w:i/>
                <w:iCs/>
              </w:rPr>
              <w:t>supra</w:t>
            </w:r>
            <w:r w:rsidRPr="00E24552">
              <w:rPr>
                <w:rFonts w:ascii="Times New Roman" w:hAnsi="Times New Roman" w:cs="Times New Roman"/>
              </w:rPr>
              <w:t xml:space="preserve"> note 4, s 37(1)(a).</w:t>
            </w:r>
          </w:p>
          <w:p w14:paraId="2C44257D" w14:textId="214AA62F" w:rsidR="00F408C1" w:rsidRPr="00E24552" w:rsidRDefault="00F408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F115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8B75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9DB0C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408C1" w:rsidRPr="00E24552" w14:paraId="29751429" w14:textId="77777777" w:rsidTr="00E24552">
        <w:trPr>
          <w:trHeight w:val="6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908F" w14:textId="05130C9C" w:rsidR="00F408C1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7</w:t>
            </w:r>
          </w:p>
          <w:p w14:paraId="5511B427" w14:textId="738F9DC6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114A" w14:textId="30476F11" w:rsidR="00F408C1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IRPA</w:t>
            </w:r>
            <w:r w:rsidRPr="00E24552">
              <w:rPr>
                <w:sz w:val="20"/>
                <w:szCs w:val="20"/>
              </w:rPr>
              <w:t xml:space="preserve">,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4, ss 54-87; </w:t>
            </w:r>
            <w:r w:rsidRPr="00E24552">
              <w:rPr>
                <w:i/>
                <w:iCs/>
                <w:sz w:val="20"/>
                <w:szCs w:val="20"/>
              </w:rPr>
              <w:t>Immigration and Refugee Protection Regulations</w:t>
            </w:r>
            <w:r w:rsidRPr="00E24552">
              <w:rPr>
                <w:sz w:val="20"/>
                <w:szCs w:val="20"/>
              </w:rPr>
              <w:t xml:space="preserve">, SOR/2022-227, ss 223-251; Kaushal,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2 at 305.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048B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3F54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7CDE" w14:textId="77777777" w:rsidR="00F408C1" w:rsidRPr="00E24552" w:rsidRDefault="00F408C1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4552" w:rsidRPr="00E24552" w14:paraId="1190E8F2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A6F91" w14:textId="5AA661C3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6FCF1" w14:textId="3C014EB5" w:rsidR="00E24552" w:rsidRPr="00E24552" w:rsidRDefault="00E24552">
            <w:pPr>
              <w:rPr>
                <w:color w:val="000000"/>
                <w:sz w:val="20"/>
                <w:szCs w:val="20"/>
              </w:rPr>
            </w:pPr>
            <w:r w:rsidRPr="00E24552">
              <w:rPr>
                <w:sz w:val="20"/>
                <w:szCs w:val="20"/>
              </w:rPr>
              <w:t>1992 CanLII 87 [</w:t>
            </w:r>
            <w:r w:rsidRPr="00E24552">
              <w:rPr>
                <w:i/>
                <w:iCs/>
                <w:sz w:val="20"/>
                <w:szCs w:val="20"/>
              </w:rPr>
              <w:t>Chiarelli</w:t>
            </w:r>
            <w:r w:rsidRPr="00E24552">
              <w:rPr>
                <w:sz w:val="20"/>
                <w:szCs w:val="20"/>
              </w:rPr>
              <w:t>].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29FA2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3143E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7B3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7BBC4347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96E4E" w14:textId="0F0EE2C4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808D" w14:textId="2D265365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Ibid</w:t>
            </w:r>
            <w:r w:rsidRPr="00E24552">
              <w:rPr>
                <w:sz w:val="20"/>
                <w:szCs w:val="20"/>
              </w:rPr>
              <w:t xml:space="preserve"> at 733.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56F60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E7AA8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4757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35E34E87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716D9" w14:textId="2D625597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466A" w14:textId="2D0BFEC9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Ibid</w:t>
            </w:r>
            <w:r w:rsidRPr="00E24552">
              <w:rPr>
                <w:sz w:val="20"/>
                <w:szCs w:val="20"/>
                <w:lang w:val="en-US"/>
              </w:rPr>
              <w:t xml:space="preserve"> at 715, 733, 735; </w:t>
            </w:r>
            <w:r w:rsidRPr="00E24552">
              <w:rPr>
                <w:i/>
                <w:iCs/>
                <w:sz w:val="20"/>
                <w:szCs w:val="20"/>
              </w:rPr>
              <w:t>Canadian Charter of Rights and Freedoms</w:t>
            </w:r>
            <w:r w:rsidRPr="00E24552">
              <w:rPr>
                <w:sz w:val="20"/>
                <w:szCs w:val="20"/>
              </w:rPr>
              <w:t>, Part I of the </w:t>
            </w:r>
            <w:r w:rsidRPr="00E24552">
              <w:rPr>
                <w:i/>
                <w:iCs/>
                <w:sz w:val="20"/>
                <w:szCs w:val="20"/>
              </w:rPr>
              <w:t>Constitution Act, 1982,</w:t>
            </w:r>
            <w:r w:rsidRPr="00E24552">
              <w:rPr>
                <w:sz w:val="20"/>
                <w:szCs w:val="20"/>
              </w:rPr>
              <w:t xml:space="preserve"> being Schedule B to the </w:t>
            </w:r>
            <w:r w:rsidRPr="00E24552">
              <w:rPr>
                <w:i/>
                <w:iCs/>
                <w:sz w:val="20"/>
                <w:szCs w:val="20"/>
              </w:rPr>
              <w:t>Canada Act 1982</w:t>
            </w:r>
            <w:r w:rsidRPr="00E24552">
              <w:rPr>
                <w:sz w:val="20"/>
                <w:szCs w:val="20"/>
              </w:rPr>
              <w:t> (USA), 1982, c 11</w:t>
            </w:r>
            <w:r w:rsidR="00A123AC">
              <w:rPr>
                <w:sz w:val="20"/>
                <w:szCs w:val="20"/>
              </w:rPr>
              <w:t>, s 6</w:t>
            </w:r>
            <w:r w:rsidRPr="00E24552">
              <w:rPr>
                <w:sz w:val="20"/>
                <w:szCs w:val="20"/>
              </w:rPr>
              <w:t xml:space="preserve"> [</w:t>
            </w:r>
            <w:r w:rsidRPr="00E24552">
              <w:rPr>
                <w:i/>
                <w:iCs/>
                <w:sz w:val="20"/>
                <w:szCs w:val="20"/>
              </w:rPr>
              <w:t>Charter</w:t>
            </w:r>
            <w:r w:rsidRPr="00E24552">
              <w:rPr>
                <w:sz w:val="20"/>
                <w:szCs w:val="20"/>
              </w:rPr>
              <w:t>].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E4A91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F7266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5EB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54DF268B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24E90" w14:textId="33E4A3E2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CA4FC" w14:textId="656FEE57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Chiarelli</w:t>
            </w:r>
            <w:r w:rsidRPr="00E24552">
              <w:rPr>
                <w:sz w:val="20"/>
                <w:szCs w:val="20"/>
              </w:rPr>
              <w:t xml:space="preserve">,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8 at 739</w:t>
            </w:r>
            <w:r w:rsidRPr="00E245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213A4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5EFB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0AC4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4E598859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7553C" w14:textId="33729D80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CAC6" w14:textId="4F110EDE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Ibid</w:t>
            </w:r>
            <w:r w:rsidRPr="00E245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B7AA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AD543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69B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12E39F18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96ECF" w14:textId="2EE1B4A0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D09E" w14:textId="23DB2682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Ibid</w:t>
            </w:r>
            <w:r w:rsidRPr="00E245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19F0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CC2E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4B8D5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23D8A811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D2606" w14:textId="10397330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88196" w14:textId="0704C372" w:rsidR="00E24552" w:rsidRPr="00E24552" w:rsidRDefault="00E2455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notes 10, ss 7, 12, 15.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FFCF6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815F2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E80A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269E4000" w14:textId="77777777" w:rsidTr="00E24552">
        <w:trPr>
          <w:trHeight w:val="20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C2AA7" w14:textId="3FD7F89A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D34A5" w14:textId="0FE74F72" w:rsidR="00E24552" w:rsidRPr="00E24552" w:rsidRDefault="00E24552" w:rsidP="00E24552">
            <w:pPr>
              <w:pStyle w:val="FootnoteText"/>
              <w:rPr>
                <w:rFonts w:ascii="Times New Roman" w:hAnsi="Times New Roman" w:cs="Times New Roman"/>
                <w:lang w:val="en-US"/>
              </w:rPr>
            </w:pPr>
            <w:r w:rsidRPr="00E24552">
              <w:rPr>
                <w:rFonts w:ascii="Times New Roman" w:hAnsi="Times New Roman" w:cs="Times New Roman"/>
                <w:i/>
                <w:iCs/>
              </w:rPr>
              <w:t>Chiarelli</w:t>
            </w:r>
            <w:r w:rsidRPr="00E24552">
              <w:rPr>
                <w:rFonts w:ascii="Times New Roman" w:hAnsi="Times New Roman" w:cs="Times New Roman"/>
              </w:rPr>
              <w:t xml:space="preserve">,, </w:t>
            </w:r>
            <w:r w:rsidRPr="00E24552">
              <w:rPr>
                <w:rFonts w:ascii="Times New Roman" w:hAnsi="Times New Roman" w:cs="Times New Roman"/>
                <w:i/>
                <w:iCs/>
              </w:rPr>
              <w:t>supra</w:t>
            </w:r>
            <w:r w:rsidRPr="00E24552">
              <w:rPr>
                <w:rFonts w:ascii="Times New Roman" w:hAnsi="Times New Roman" w:cs="Times New Roman"/>
              </w:rPr>
              <w:t xml:space="preserve"> note 4 at 734–35. See also Catherine Dauverge, “How the Charter </w:t>
            </w:r>
            <w:r w:rsidR="00C97881">
              <w:rPr>
                <w:rFonts w:ascii="Times New Roman" w:hAnsi="Times New Roman" w:cs="Times New Roman"/>
              </w:rPr>
              <w:t>h</w:t>
            </w:r>
            <w:r w:rsidRPr="00E24552">
              <w:rPr>
                <w:rFonts w:ascii="Times New Roman" w:hAnsi="Times New Roman" w:cs="Times New Roman"/>
              </w:rPr>
              <w:t>as Failed Non-Citizens in Canada: Reviewing Thirty Years of Supreme Court of Canada Jurisprudence” (2013) 58:2 McGill LJ 663 at 681.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94799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CB87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4949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67D5189C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1A892" w14:textId="082558A0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C9AB8" w14:textId="1BC5AAC6" w:rsidR="00E24552" w:rsidRPr="00E24552" w:rsidRDefault="00E2455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Chiarelli,</w:t>
            </w:r>
            <w:r w:rsidRPr="00E24552">
              <w:rPr>
                <w:sz w:val="20"/>
                <w:szCs w:val="20"/>
                <w:lang w:val="en-US"/>
              </w:rPr>
              <w:t xml:space="preserve"> supra note 9 at 736.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848BC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F724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7E550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2EE4E8A8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2F740" w14:textId="0BEB83E3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43680" w14:textId="652F651E" w:rsidR="00E24552" w:rsidRPr="00E24552" w:rsidRDefault="00E2455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24552">
              <w:rPr>
                <w:i/>
                <w:iCs/>
                <w:sz w:val="20"/>
                <w:szCs w:val="20"/>
              </w:rPr>
              <w:t>Ibid</w:t>
            </w:r>
            <w:r w:rsidRPr="00E24552">
              <w:rPr>
                <w:sz w:val="20"/>
                <w:szCs w:val="20"/>
              </w:rPr>
              <w:t xml:space="preserve">;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note, 10, s 6.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BCE0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A4C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B7C1C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09D8DA8E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96EEC" w14:textId="5D4FBDAC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14242" w14:textId="572C6280" w:rsidR="00E24552" w:rsidRPr="00E24552" w:rsidRDefault="00E2455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24552">
              <w:rPr>
                <w:sz w:val="20"/>
                <w:szCs w:val="20"/>
              </w:rPr>
              <w:t xml:space="preserve">Joshua Blum, </w:t>
            </w:r>
            <w:r w:rsidRPr="00E24552">
              <w:rPr>
                <w:i/>
                <w:iCs/>
                <w:sz w:val="20"/>
                <w:szCs w:val="20"/>
              </w:rPr>
              <w:t>The Chiarelli Doctrine: Immigration Exceptionalism and the Canadian Charter of Rights and Freedoms</w:t>
            </w:r>
            <w:r w:rsidRPr="00E24552">
              <w:rPr>
                <w:sz w:val="20"/>
                <w:szCs w:val="20"/>
              </w:rPr>
              <w:t xml:space="preserve"> (2021) 54:1 UBC Law Rev </w:t>
            </w:r>
            <w:r w:rsidRPr="00E24552">
              <w:rPr>
                <w:sz w:val="20"/>
                <w:szCs w:val="20"/>
                <w:lang w:val="en-US"/>
              </w:rPr>
              <w:t>1 at 41.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78E61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061E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6F70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4F46F489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57AD2" w14:textId="6BF73C71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CE29" w14:textId="06D69B6A" w:rsidR="00E24552" w:rsidRPr="00E24552" w:rsidRDefault="00E24552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24552">
              <w:rPr>
                <w:sz w:val="20"/>
                <w:szCs w:val="20"/>
              </w:rPr>
              <w:t xml:space="preserve">Dauverge,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13 at </w:t>
            </w:r>
            <w:r w:rsidRPr="00E24552">
              <w:rPr>
                <w:sz w:val="20"/>
                <w:szCs w:val="20"/>
                <w:lang w:val="en-US"/>
              </w:rPr>
              <w:t>683.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2EF1C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D486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4D9D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5C364EB5" w14:textId="77777777" w:rsidTr="00E24552">
        <w:trPr>
          <w:trHeight w:val="116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4E039" w14:textId="0C6E7AB7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E55D" w14:textId="05666BE4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sz w:val="20"/>
                <w:szCs w:val="20"/>
              </w:rPr>
              <w:t>2019 FCA 262, leave to appeal refused, 36891</w:t>
            </w:r>
            <w:r w:rsidRPr="00E24552">
              <w:rPr>
                <w:sz w:val="20"/>
                <w:szCs w:val="20"/>
                <w:lang w:val="en-US"/>
              </w:rPr>
              <w:t xml:space="preserve"> (2 April 2021)</w:t>
            </w:r>
            <w:r w:rsidRPr="00E24552">
              <w:rPr>
                <w:sz w:val="20"/>
                <w:szCs w:val="20"/>
              </w:rPr>
              <w:t xml:space="preserve"> [</w:t>
            </w:r>
            <w:r w:rsidRPr="00E24552">
              <w:rPr>
                <w:i/>
                <w:iCs/>
                <w:sz w:val="20"/>
                <w:szCs w:val="20"/>
              </w:rPr>
              <w:t>Revell</w:t>
            </w:r>
            <w:r w:rsidRPr="00E24552">
              <w:rPr>
                <w:sz w:val="20"/>
                <w:szCs w:val="20"/>
              </w:rPr>
              <w:t xml:space="preserve">]; </w:t>
            </w:r>
            <w:r w:rsidRPr="00E24552">
              <w:rPr>
                <w:i/>
                <w:iCs/>
                <w:sz w:val="20"/>
                <w:szCs w:val="20"/>
              </w:rPr>
              <w:t>Supra</w:t>
            </w:r>
            <w:r w:rsidRPr="00E24552">
              <w:rPr>
                <w:sz w:val="20"/>
                <w:szCs w:val="20"/>
              </w:rPr>
              <w:t xml:space="preserve"> note 10, s 7.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E07F7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446D9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F4E9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295765E5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1C739" w14:textId="2A12867C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A607" w14:textId="23BE006A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IRPA</w:t>
            </w:r>
            <w:r w:rsidRPr="00E24552">
              <w:rPr>
                <w:sz w:val="20"/>
                <w:szCs w:val="20"/>
                <w:lang w:val="en-US"/>
              </w:rPr>
              <w:t xml:space="preserve">, </w:t>
            </w:r>
            <w:r w:rsidRPr="00E24552">
              <w:rPr>
                <w:i/>
                <w:iCs/>
                <w:sz w:val="20"/>
                <w:szCs w:val="20"/>
                <w:lang w:val="en-US"/>
              </w:rPr>
              <w:t>supra</w:t>
            </w:r>
            <w:r w:rsidRPr="00E24552">
              <w:rPr>
                <w:sz w:val="20"/>
                <w:szCs w:val="20"/>
                <w:lang w:val="en-US"/>
              </w:rPr>
              <w:t xml:space="preserve"> note 4, ss 74(d).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4FF4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235C2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1F87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44859653" w14:textId="77777777" w:rsidTr="00E24552">
        <w:trPr>
          <w:trHeight w:val="104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49A46" w14:textId="003ED589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5170" w14:textId="0592931C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 xml:space="preserve">Lewis v. Canada (Public Safety and Emergency Preparedness), </w:t>
            </w:r>
            <w:r w:rsidRPr="00E24552">
              <w:rPr>
                <w:sz w:val="20"/>
                <w:szCs w:val="20"/>
              </w:rPr>
              <w:t>2017 FCA 130</w:t>
            </w:r>
            <w:r w:rsidRPr="00E24552">
              <w:rPr>
                <w:i/>
                <w:iCs/>
                <w:sz w:val="20"/>
                <w:szCs w:val="20"/>
              </w:rPr>
              <w:t xml:space="preserve"> </w:t>
            </w:r>
            <w:r w:rsidRPr="00E24552">
              <w:rPr>
                <w:sz w:val="20"/>
                <w:szCs w:val="20"/>
              </w:rPr>
              <w:t>at para 28.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FFA4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31B21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B80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133DF49A" w14:textId="77777777" w:rsidTr="00E24552">
        <w:trPr>
          <w:trHeight w:val="168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E0FB8" w14:textId="69F68CAD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EA3F" w14:textId="34FCBB2B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Lunyamila v Canada</w:t>
            </w:r>
            <w:r w:rsidRPr="00E24552">
              <w:rPr>
                <w:sz w:val="20"/>
                <w:szCs w:val="20"/>
              </w:rPr>
              <w:t xml:space="preserve">, 2018 FCA 22 at para 46, citing </w:t>
            </w:r>
            <w:r w:rsidRPr="00E24552">
              <w:rPr>
                <w:i/>
                <w:iCs/>
                <w:sz w:val="20"/>
                <w:szCs w:val="20"/>
              </w:rPr>
              <w:t xml:space="preserve">Mudrak v Canada </w:t>
            </w:r>
            <w:r w:rsidRPr="00E24552">
              <w:rPr>
                <w:sz w:val="20"/>
                <w:szCs w:val="20"/>
              </w:rPr>
              <w:t>(</w:t>
            </w:r>
            <w:r w:rsidRPr="00E24552">
              <w:rPr>
                <w:i/>
                <w:iCs/>
                <w:sz w:val="20"/>
                <w:szCs w:val="20"/>
              </w:rPr>
              <w:t>Citizenship and Immigration)</w:t>
            </w:r>
            <w:r w:rsidRPr="00E24552">
              <w:rPr>
                <w:sz w:val="20"/>
                <w:szCs w:val="20"/>
              </w:rPr>
              <w:t>, 2016 FCA 178 at 15, 35.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05C03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6B2DC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87E9C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60EB2DD6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72C7B" w14:textId="316303E3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23E61" w14:textId="3E98FBAC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</w:rPr>
              <w:t>Canada (Attorney General) v Bedford,</w:t>
            </w:r>
            <w:r w:rsidRPr="00E24552">
              <w:rPr>
                <w:sz w:val="20"/>
                <w:szCs w:val="20"/>
              </w:rPr>
              <w:t xml:space="preserve"> 2013 SCC 72 at para </w:t>
            </w:r>
            <w:r w:rsidRPr="00E24552">
              <w:rPr>
                <w:sz w:val="20"/>
                <w:szCs w:val="20"/>
                <w:lang w:val="en-US"/>
              </w:rPr>
              <w:t>44.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E4F5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F5D0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9197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07AB3219" w14:textId="77777777" w:rsidTr="00E24552">
        <w:trPr>
          <w:trHeight w:val="10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A154C" w14:textId="1A0E77BF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C0B4" w14:textId="38148D44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sz w:val="20"/>
                <w:szCs w:val="20"/>
                <w:lang w:val="en-US"/>
              </w:rPr>
              <w:t>See the decisions of the Federal Court of Appeal between 2020 and 2024 on CanLII.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086CA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E593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70B59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171F4C16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3A991" w14:textId="5C57796E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F804" w14:textId="22DA60C2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sz w:val="20"/>
                <w:szCs w:val="20"/>
                <w:lang w:val="en-US"/>
              </w:rPr>
              <w:t>2021 FCA 150.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9137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6A3B4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2F71F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2DAC1C43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13CC2" w14:textId="05625DEA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4D53C" w14:textId="29B98864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sz w:val="20"/>
                <w:szCs w:val="20"/>
                <w:lang w:val="en-US"/>
              </w:rPr>
              <w:t>2021 FCA 72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5B2D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BB45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0B72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  <w:tr w:rsidR="00E24552" w:rsidRPr="00E24552" w14:paraId="5A6F9ED8" w14:textId="77777777" w:rsidTr="00E24552">
        <w:trPr>
          <w:trHeight w:val="61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BD39A" w14:textId="23847FD8" w:rsidR="00E24552" w:rsidRPr="00E24552" w:rsidRDefault="00E24552">
            <w:pPr>
              <w:jc w:val="center"/>
              <w:rPr>
                <w:color w:val="000000"/>
                <w:sz w:val="20"/>
                <w:szCs w:val="20"/>
              </w:rPr>
            </w:pPr>
            <w:r w:rsidRPr="00E2455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15D90" w14:textId="2D293B2A" w:rsidR="00E24552" w:rsidRPr="00E24552" w:rsidRDefault="00E24552">
            <w:pPr>
              <w:rPr>
                <w:sz w:val="20"/>
                <w:szCs w:val="20"/>
              </w:rPr>
            </w:pPr>
            <w:r w:rsidRPr="00E24552">
              <w:rPr>
                <w:i/>
                <w:iCs/>
                <w:sz w:val="20"/>
                <w:szCs w:val="20"/>
                <w:lang w:val="en-US"/>
              </w:rPr>
              <w:t>Revell,</w:t>
            </w:r>
            <w:r w:rsidRPr="00E24552">
              <w:rPr>
                <w:sz w:val="20"/>
                <w:szCs w:val="20"/>
                <w:lang w:val="en-US"/>
              </w:rPr>
              <w:t xml:space="preserve"> </w:t>
            </w:r>
            <w:r w:rsidRPr="00E24552">
              <w:rPr>
                <w:i/>
                <w:iCs/>
                <w:sz w:val="20"/>
                <w:szCs w:val="20"/>
                <w:lang w:val="en-US"/>
              </w:rPr>
              <w:t>supra</w:t>
            </w:r>
            <w:r w:rsidRPr="00E24552">
              <w:rPr>
                <w:sz w:val="20"/>
                <w:szCs w:val="20"/>
                <w:lang w:val="en-US"/>
              </w:rPr>
              <w:t xml:space="preserve"> note 21.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3402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AEA45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4617" w14:textId="77777777" w:rsidR="00E24552" w:rsidRPr="00E24552" w:rsidRDefault="00E2455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ABC627B" w14:textId="77777777" w:rsidR="00F408C1" w:rsidRPr="00CF26FB" w:rsidRDefault="00F408C1" w:rsidP="00F408C1">
      <w:pPr>
        <w:rPr>
          <w:b/>
        </w:rPr>
      </w:pPr>
    </w:p>
    <w:p w14:paraId="63D9D4B3" w14:textId="77777777" w:rsidR="00F408C1" w:rsidRPr="000B4E4F" w:rsidRDefault="00F408C1" w:rsidP="00FC0B7C">
      <w:pPr>
        <w:spacing w:line="480" w:lineRule="auto"/>
      </w:pPr>
    </w:p>
    <w:sectPr w:rsidR="00F408C1" w:rsidRPr="000B4E4F" w:rsidSect="00F408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C0FC" w14:textId="77777777" w:rsidR="00E27433" w:rsidRDefault="00E27433" w:rsidP="000B4E4F">
      <w:r>
        <w:separator/>
      </w:r>
    </w:p>
  </w:endnote>
  <w:endnote w:type="continuationSeparator" w:id="0">
    <w:p w14:paraId="2C0ABD50" w14:textId="77777777" w:rsidR="00E27433" w:rsidRDefault="00E27433" w:rsidP="000B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9945085"/>
      <w:docPartObj>
        <w:docPartGallery w:val="Page Numbers (Bottom of Page)"/>
        <w:docPartUnique/>
      </w:docPartObj>
    </w:sdtPr>
    <w:sdtContent>
      <w:p w14:paraId="0A345C1E" w14:textId="5007956E" w:rsidR="00CF26FB" w:rsidRDefault="00CF26FB" w:rsidP="003D4F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ACCCAA" w14:textId="77777777" w:rsidR="00CF26FB" w:rsidRDefault="00CF26FB" w:rsidP="00CF26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668291548"/>
      <w:docPartObj>
        <w:docPartGallery w:val="Page Numbers (Bottom of Page)"/>
        <w:docPartUnique/>
      </w:docPartObj>
    </w:sdtPr>
    <w:sdtContent>
      <w:p w14:paraId="35A0E480" w14:textId="3288A9A6" w:rsidR="00CF26FB" w:rsidRPr="00CF26FB" w:rsidRDefault="00CF26FB" w:rsidP="003D4F7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CF26FB">
          <w:rPr>
            <w:rStyle w:val="PageNumber"/>
            <w:rFonts w:ascii="Times New Roman" w:hAnsi="Times New Roman" w:cs="Times New Roman"/>
          </w:rPr>
          <w:fldChar w:fldCharType="begin"/>
        </w:r>
        <w:r w:rsidRPr="00CF26FB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F26FB">
          <w:rPr>
            <w:rStyle w:val="PageNumber"/>
            <w:rFonts w:ascii="Times New Roman" w:hAnsi="Times New Roman" w:cs="Times New Roman"/>
          </w:rPr>
          <w:fldChar w:fldCharType="separate"/>
        </w:r>
        <w:r w:rsidRPr="00CF26FB">
          <w:rPr>
            <w:rStyle w:val="PageNumber"/>
            <w:rFonts w:ascii="Times New Roman" w:hAnsi="Times New Roman" w:cs="Times New Roman"/>
            <w:noProof/>
          </w:rPr>
          <w:t>5</w:t>
        </w:r>
        <w:r w:rsidRPr="00CF26FB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32AA24B" w14:textId="77777777" w:rsidR="00CF26FB" w:rsidRDefault="00CF26FB" w:rsidP="00CF26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0945" w14:textId="77777777" w:rsidR="00E27433" w:rsidRDefault="00E27433" w:rsidP="000B4E4F">
      <w:r>
        <w:separator/>
      </w:r>
    </w:p>
  </w:footnote>
  <w:footnote w:type="continuationSeparator" w:id="0">
    <w:p w14:paraId="2C21F090" w14:textId="77777777" w:rsidR="00E27433" w:rsidRDefault="00E27433" w:rsidP="000B4E4F">
      <w:r>
        <w:continuationSeparator/>
      </w:r>
    </w:p>
  </w:footnote>
  <w:footnote w:id="1">
    <w:p w14:paraId="474D30BB" w14:textId="7762851A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Sharryn Aiken</w:t>
      </w:r>
      <w:r w:rsidR="00CE01C9" w:rsidRPr="00E31091">
        <w:rPr>
          <w:rFonts w:ascii="Times New Roman" w:hAnsi="Times New Roman" w:cs="Times New Roman"/>
        </w:rPr>
        <w:t xml:space="preserve"> et al</w:t>
      </w:r>
      <w:r w:rsidRPr="00E31091">
        <w:rPr>
          <w:rFonts w:ascii="Times New Roman" w:hAnsi="Times New Roman" w:cs="Times New Roman"/>
        </w:rPr>
        <w:t>, “Introduction: ‘Crimmigration, Surveillance and Security Threats’: A Multidisciplinary Dialogue” (2014) 40 Queen’s LJ i at iii.</w:t>
      </w:r>
    </w:p>
  </w:footnote>
  <w:footnote w:id="2">
    <w:p w14:paraId="7753601B" w14:textId="655B2C73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23641B" w:rsidRPr="00E31091">
        <w:rPr>
          <w:rFonts w:ascii="Times New Roman" w:hAnsi="Times New Roman" w:cs="Times New Roman"/>
        </w:rPr>
        <w:t>Asha Kaushal</w:t>
      </w:r>
      <w:r w:rsidR="0023641B" w:rsidRPr="00E31091">
        <w:rPr>
          <w:rFonts w:ascii="Times New Roman" w:hAnsi="Times New Roman" w:cs="Times New Roman"/>
          <w:i/>
          <w:iCs/>
        </w:rPr>
        <w:t>,</w:t>
      </w:r>
      <w:r w:rsidR="0023641B" w:rsidRPr="00E31091">
        <w:rPr>
          <w:rFonts w:ascii="Times New Roman" w:hAnsi="Times New Roman" w:cs="Times New Roman"/>
        </w:rPr>
        <w:t xml:space="preserve"> “The Webbing of Public Law: Looking Through Deportation Doctrine” (20</w:t>
      </w:r>
      <w:r w:rsidR="00495E7B">
        <w:rPr>
          <w:rFonts w:ascii="Times New Roman" w:hAnsi="Times New Roman" w:cs="Times New Roman"/>
        </w:rPr>
        <w:t>20</w:t>
      </w:r>
      <w:r w:rsidR="0023641B" w:rsidRPr="00E31091">
        <w:rPr>
          <w:rFonts w:ascii="Times New Roman" w:hAnsi="Times New Roman" w:cs="Times New Roman"/>
        </w:rPr>
        <w:t xml:space="preserve">) 59:2 </w:t>
      </w:r>
      <w:r w:rsidR="003039BD" w:rsidRPr="00E31091">
        <w:rPr>
          <w:rFonts w:ascii="Times New Roman" w:hAnsi="Times New Roman" w:cs="Times New Roman"/>
        </w:rPr>
        <w:t>OH</w:t>
      </w:r>
      <w:r w:rsidR="0023641B" w:rsidRPr="00E31091">
        <w:rPr>
          <w:rFonts w:ascii="Times New Roman" w:hAnsi="Times New Roman" w:cs="Times New Roman"/>
        </w:rPr>
        <w:t xml:space="preserve">LJ 291 at </w:t>
      </w:r>
      <w:r w:rsidRPr="00E31091">
        <w:rPr>
          <w:rFonts w:ascii="Times New Roman" w:hAnsi="Times New Roman" w:cs="Times New Roman"/>
        </w:rPr>
        <w:t>303</w:t>
      </w:r>
      <w:r w:rsidR="00A12929">
        <w:rPr>
          <w:rFonts w:ascii="Times New Roman" w:hAnsi="Times New Roman" w:cs="Times New Roman"/>
        </w:rPr>
        <w:t xml:space="preserve"> [Kaushal]</w:t>
      </w:r>
      <w:r w:rsidRPr="00E31091">
        <w:rPr>
          <w:rFonts w:ascii="Times New Roman" w:hAnsi="Times New Roman" w:cs="Times New Roman"/>
        </w:rPr>
        <w:t>.</w:t>
      </w:r>
    </w:p>
  </w:footnote>
  <w:footnote w:id="3">
    <w:p w14:paraId="549AD468" w14:textId="77777777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</w:rPr>
        <w:t>Ibid</w:t>
      </w:r>
      <w:r w:rsidRPr="00E31091">
        <w:rPr>
          <w:rFonts w:ascii="Times New Roman" w:hAnsi="Times New Roman" w:cs="Times New Roman"/>
        </w:rPr>
        <w:t>.</w:t>
      </w:r>
    </w:p>
  </w:footnote>
  <w:footnote w:id="4">
    <w:p w14:paraId="52D38980" w14:textId="706CDE27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23641B" w:rsidRPr="00514578">
        <w:rPr>
          <w:rFonts w:ascii="Times New Roman" w:hAnsi="Times New Roman" w:cs="Times New Roman"/>
          <w:i/>
          <w:iCs/>
          <w:lang w:val="en-US"/>
        </w:rPr>
        <w:t>Immigration and Refugee Protection Act</w:t>
      </w:r>
      <w:r w:rsidR="0023641B" w:rsidRPr="00514578">
        <w:rPr>
          <w:rFonts w:ascii="Times New Roman" w:hAnsi="Times New Roman" w:cs="Times New Roman"/>
          <w:lang w:val="en-US"/>
        </w:rPr>
        <w:t>, SC 2001, c 27, ss</w:t>
      </w:r>
      <w:r w:rsidR="00F146E5" w:rsidRPr="00514578">
        <w:rPr>
          <w:rFonts w:ascii="Times New Roman" w:hAnsi="Times New Roman" w:cs="Times New Roman"/>
          <w:lang w:val="en-US"/>
        </w:rPr>
        <w:t>.</w:t>
      </w:r>
      <w:r w:rsidR="0023641B" w:rsidRPr="00514578">
        <w:rPr>
          <w:rFonts w:ascii="Times New Roman" w:hAnsi="Times New Roman" w:cs="Times New Roman"/>
          <w:lang w:val="en-US"/>
        </w:rPr>
        <w:t xml:space="preserve"> 3(h)</w:t>
      </w:r>
      <w:r w:rsidR="00D954D8" w:rsidRPr="00514578">
        <w:rPr>
          <w:rFonts w:ascii="Times New Roman" w:hAnsi="Times New Roman" w:cs="Times New Roman"/>
          <w:lang w:val="en-US"/>
        </w:rPr>
        <w:t>–</w:t>
      </w:r>
      <w:r w:rsidR="0023641B" w:rsidRPr="00514578">
        <w:rPr>
          <w:rFonts w:ascii="Times New Roman" w:hAnsi="Times New Roman" w:cs="Times New Roman"/>
          <w:lang w:val="en-US"/>
        </w:rPr>
        <w:t>(i) [</w:t>
      </w:r>
      <w:r w:rsidR="0023641B" w:rsidRPr="00514578">
        <w:rPr>
          <w:rFonts w:ascii="Times New Roman" w:hAnsi="Times New Roman" w:cs="Times New Roman"/>
          <w:i/>
          <w:iCs/>
          <w:lang w:val="en-US"/>
        </w:rPr>
        <w:t>IRPA</w:t>
      </w:r>
      <w:r w:rsidR="0023641B" w:rsidRPr="00514578">
        <w:rPr>
          <w:rFonts w:ascii="Times New Roman" w:hAnsi="Times New Roman" w:cs="Times New Roman"/>
          <w:lang w:val="en-US"/>
        </w:rPr>
        <w:t xml:space="preserve">]; </w:t>
      </w:r>
      <w:r w:rsidRPr="00514578">
        <w:rPr>
          <w:rFonts w:ascii="Times New Roman" w:hAnsi="Times New Roman" w:cs="Times New Roman"/>
          <w:i/>
          <w:iCs/>
        </w:rPr>
        <w:t xml:space="preserve">Medovarski v Canada </w:t>
      </w:r>
      <w:r w:rsidRPr="00514578">
        <w:rPr>
          <w:rFonts w:ascii="Times New Roman" w:hAnsi="Times New Roman" w:cs="Times New Roman"/>
        </w:rPr>
        <w:t>(</w:t>
      </w:r>
      <w:r w:rsidRPr="00514578">
        <w:rPr>
          <w:rFonts w:ascii="Times New Roman" w:hAnsi="Times New Roman" w:cs="Times New Roman"/>
          <w:i/>
          <w:iCs/>
        </w:rPr>
        <w:t>Minister of Citizenship and Immigration),</w:t>
      </w:r>
      <w:r w:rsidRPr="00514578">
        <w:rPr>
          <w:rFonts w:ascii="Times New Roman" w:hAnsi="Times New Roman" w:cs="Times New Roman"/>
        </w:rPr>
        <w:t xml:space="preserve"> 2005 SCC 51 at para 10.</w:t>
      </w:r>
    </w:p>
  </w:footnote>
  <w:footnote w:id="5">
    <w:p w14:paraId="184EC6AC" w14:textId="50EC3132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17149E" w:rsidRPr="00E31091">
        <w:rPr>
          <w:rFonts w:ascii="Times New Roman" w:hAnsi="Times New Roman" w:cs="Times New Roman"/>
        </w:rPr>
        <w:t>See e.g.</w:t>
      </w:r>
      <w:r w:rsidR="003039BD" w:rsidRPr="00E31091">
        <w:rPr>
          <w:rFonts w:ascii="Times New Roman" w:hAnsi="Times New Roman" w:cs="Times New Roman"/>
        </w:rPr>
        <w:t>,</w:t>
      </w:r>
      <w:r w:rsidR="0017149E" w:rsidRPr="00E31091">
        <w:rPr>
          <w:rFonts w:ascii="Times New Roman" w:hAnsi="Times New Roman" w:cs="Times New Roman"/>
        </w:rPr>
        <w:t xml:space="preserve"> </w:t>
      </w:r>
      <w:r w:rsidR="0017149E" w:rsidRPr="00E31091">
        <w:rPr>
          <w:rFonts w:ascii="Times New Roman" w:hAnsi="Times New Roman" w:cs="Times New Roman"/>
          <w:i/>
          <w:iCs/>
        </w:rPr>
        <w:t>IRPA</w:t>
      </w:r>
      <w:r w:rsidR="0017149E" w:rsidRPr="00E31091">
        <w:rPr>
          <w:rFonts w:ascii="Times New Roman" w:hAnsi="Times New Roman" w:cs="Times New Roman"/>
        </w:rPr>
        <w:t xml:space="preserve">, </w:t>
      </w:r>
      <w:r w:rsidR="0017149E" w:rsidRPr="00E31091">
        <w:rPr>
          <w:rFonts w:ascii="Times New Roman" w:hAnsi="Times New Roman" w:cs="Times New Roman"/>
          <w:i/>
          <w:iCs/>
        </w:rPr>
        <w:t>supra</w:t>
      </w:r>
      <w:r w:rsidR="0017149E" w:rsidRPr="00E31091">
        <w:rPr>
          <w:rFonts w:ascii="Times New Roman" w:hAnsi="Times New Roman" w:cs="Times New Roman"/>
        </w:rPr>
        <w:t xml:space="preserve"> note 4, ss 36</w:t>
      </w:r>
      <w:r w:rsidR="00D954D8">
        <w:rPr>
          <w:rFonts w:ascii="Times New Roman" w:hAnsi="Times New Roman" w:cs="Times New Roman"/>
        </w:rPr>
        <w:t>–</w:t>
      </w:r>
      <w:r w:rsidR="0017149E" w:rsidRPr="00E31091">
        <w:rPr>
          <w:rFonts w:ascii="Times New Roman" w:hAnsi="Times New Roman" w:cs="Times New Roman"/>
        </w:rPr>
        <w:t xml:space="preserve">37. See also </w:t>
      </w:r>
      <w:r w:rsidRPr="00E31091">
        <w:rPr>
          <w:rFonts w:ascii="Times New Roman" w:hAnsi="Times New Roman" w:cs="Times New Roman"/>
        </w:rPr>
        <w:t xml:space="preserve">Daniel Kanstroom, “Deportation, Social Control, and Punishment: Some Thoughts About Why </w:t>
      </w:r>
      <w:r w:rsidRPr="00E31091">
        <w:rPr>
          <w:rFonts w:ascii="Times New Roman" w:hAnsi="Times New Roman" w:cs="Times New Roman"/>
          <w:lang w:val="en-US"/>
        </w:rPr>
        <w:t>Hard Laws Make Bad Cases” (2000) 113 Harv L Rev 1889 at 1894.</w:t>
      </w:r>
    </w:p>
  </w:footnote>
  <w:footnote w:id="6">
    <w:p w14:paraId="0495DE95" w14:textId="17C0DE40" w:rsidR="00E31091" w:rsidRPr="00E31091" w:rsidRDefault="00E31091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</w:rPr>
        <w:t>IRPA</w:t>
      </w:r>
      <w:r w:rsidRPr="00E31091">
        <w:rPr>
          <w:rFonts w:ascii="Times New Roman" w:hAnsi="Times New Roman" w:cs="Times New Roman"/>
        </w:rPr>
        <w:t xml:space="preserve">, </w:t>
      </w:r>
      <w:r w:rsidRPr="00E31091">
        <w:rPr>
          <w:rFonts w:ascii="Times New Roman" w:hAnsi="Times New Roman" w:cs="Times New Roman"/>
          <w:i/>
          <w:iCs/>
        </w:rPr>
        <w:t>supra</w:t>
      </w:r>
      <w:r w:rsidRPr="00E31091">
        <w:rPr>
          <w:rFonts w:ascii="Times New Roman" w:hAnsi="Times New Roman" w:cs="Times New Roman"/>
        </w:rPr>
        <w:t xml:space="preserve"> note 4, s 37(1)(a).</w:t>
      </w:r>
    </w:p>
  </w:footnote>
  <w:footnote w:id="7">
    <w:p w14:paraId="21287FCA" w14:textId="5A0CD419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</w:rPr>
        <w:t>IRPA</w:t>
      </w:r>
      <w:r w:rsidRPr="00E31091">
        <w:rPr>
          <w:rFonts w:ascii="Times New Roman" w:hAnsi="Times New Roman" w:cs="Times New Roman"/>
        </w:rPr>
        <w:t xml:space="preserve">, </w:t>
      </w:r>
      <w:r w:rsidRPr="00E31091">
        <w:rPr>
          <w:rFonts w:ascii="Times New Roman" w:hAnsi="Times New Roman" w:cs="Times New Roman"/>
          <w:i/>
          <w:iCs/>
        </w:rPr>
        <w:t>supra</w:t>
      </w:r>
      <w:r w:rsidRPr="00E31091">
        <w:rPr>
          <w:rFonts w:ascii="Times New Roman" w:hAnsi="Times New Roman" w:cs="Times New Roman"/>
        </w:rPr>
        <w:t xml:space="preserve"> note</w:t>
      </w:r>
      <w:r w:rsidR="0023641B" w:rsidRPr="00E31091">
        <w:rPr>
          <w:rFonts w:ascii="Times New Roman" w:hAnsi="Times New Roman" w:cs="Times New Roman"/>
        </w:rPr>
        <w:t xml:space="preserve"> 4</w:t>
      </w:r>
      <w:r w:rsidR="00E31091">
        <w:rPr>
          <w:rFonts w:ascii="Times New Roman" w:hAnsi="Times New Roman" w:cs="Times New Roman"/>
        </w:rPr>
        <w:t>,</w:t>
      </w:r>
      <w:r w:rsidRPr="00E31091">
        <w:rPr>
          <w:rFonts w:ascii="Times New Roman" w:hAnsi="Times New Roman" w:cs="Times New Roman"/>
        </w:rPr>
        <w:t xml:space="preserve"> ss 54</w:t>
      </w:r>
      <w:r w:rsidR="00E75982" w:rsidRPr="00E31091">
        <w:rPr>
          <w:rFonts w:ascii="Times New Roman" w:hAnsi="Times New Roman" w:cs="Times New Roman"/>
        </w:rPr>
        <w:t>-</w:t>
      </w:r>
      <w:r w:rsidRPr="00E31091">
        <w:rPr>
          <w:rFonts w:ascii="Times New Roman" w:hAnsi="Times New Roman" w:cs="Times New Roman"/>
        </w:rPr>
        <w:t xml:space="preserve">87; </w:t>
      </w:r>
      <w:r w:rsidRPr="00E31091">
        <w:rPr>
          <w:rFonts w:ascii="Times New Roman" w:hAnsi="Times New Roman" w:cs="Times New Roman"/>
          <w:i/>
          <w:iCs/>
        </w:rPr>
        <w:t>Immigration and Refugee Protection Regulations</w:t>
      </w:r>
      <w:r w:rsidRPr="00E31091">
        <w:rPr>
          <w:rFonts w:ascii="Times New Roman" w:hAnsi="Times New Roman" w:cs="Times New Roman"/>
        </w:rPr>
        <w:t>, SOR/2022-227</w:t>
      </w:r>
      <w:r w:rsidR="00E31091">
        <w:rPr>
          <w:rFonts w:ascii="Times New Roman" w:hAnsi="Times New Roman" w:cs="Times New Roman"/>
        </w:rPr>
        <w:t>,</w:t>
      </w:r>
      <w:r w:rsidRPr="00E31091">
        <w:rPr>
          <w:rFonts w:ascii="Times New Roman" w:hAnsi="Times New Roman" w:cs="Times New Roman"/>
        </w:rPr>
        <w:t xml:space="preserve"> ss 223</w:t>
      </w:r>
      <w:r w:rsidR="00E75982" w:rsidRPr="00E31091">
        <w:rPr>
          <w:rFonts w:ascii="Times New Roman" w:hAnsi="Times New Roman" w:cs="Times New Roman"/>
        </w:rPr>
        <w:t>-</w:t>
      </w:r>
      <w:r w:rsidR="000C25E3" w:rsidRPr="00E31091">
        <w:rPr>
          <w:rFonts w:ascii="Times New Roman" w:hAnsi="Times New Roman" w:cs="Times New Roman"/>
        </w:rPr>
        <w:t>2</w:t>
      </w:r>
      <w:r w:rsidRPr="00E31091">
        <w:rPr>
          <w:rFonts w:ascii="Times New Roman" w:hAnsi="Times New Roman" w:cs="Times New Roman"/>
        </w:rPr>
        <w:t xml:space="preserve">51; Kaushal, </w:t>
      </w:r>
      <w:r w:rsidRPr="00E31091">
        <w:rPr>
          <w:rFonts w:ascii="Times New Roman" w:hAnsi="Times New Roman" w:cs="Times New Roman"/>
          <w:i/>
          <w:iCs/>
        </w:rPr>
        <w:t>supra</w:t>
      </w:r>
      <w:r w:rsidRPr="00E31091">
        <w:rPr>
          <w:rFonts w:ascii="Times New Roman" w:hAnsi="Times New Roman" w:cs="Times New Roman"/>
        </w:rPr>
        <w:t xml:space="preserve"> note</w:t>
      </w:r>
      <w:r w:rsidR="0023641B" w:rsidRPr="00E31091">
        <w:rPr>
          <w:rFonts w:ascii="Times New Roman" w:hAnsi="Times New Roman" w:cs="Times New Roman"/>
        </w:rPr>
        <w:t xml:space="preserve"> 2</w:t>
      </w:r>
      <w:r w:rsidRPr="00E31091">
        <w:rPr>
          <w:rFonts w:ascii="Times New Roman" w:hAnsi="Times New Roman" w:cs="Times New Roman"/>
        </w:rPr>
        <w:t xml:space="preserve"> at 305.</w:t>
      </w:r>
    </w:p>
  </w:footnote>
  <w:footnote w:id="8">
    <w:p w14:paraId="218DC787" w14:textId="77777777" w:rsidR="00C777DE" w:rsidRPr="00E31091" w:rsidRDefault="00C777DE" w:rsidP="00C777DE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1992 CanLII 87</w:t>
      </w:r>
      <w:r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</w:rPr>
        <w:t>[</w:t>
      </w:r>
      <w:r w:rsidRPr="00E31091">
        <w:rPr>
          <w:rFonts w:ascii="Times New Roman" w:hAnsi="Times New Roman" w:cs="Times New Roman"/>
          <w:i/>
          <w:iCs/>
        </w:rPr>
        <w:t>Chiarelli</w:t>
      </w:r>
      <w:r w:rsidRPr="00E31091">
        <w:rPr>
          <w:rFonts w:ascii="Times New Roman" w:hAnsi="Times New Roman" w:cs="Times New Roman"/>
        </w:rPr>
        <w:t>].</w:t>
      </w:r>
    </w:p>
  </w:footnote>
  <w:footnote w:id="9">
    <w:p w14:paraId="39B0AFE0" w14:textId="18144BFB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A65DF9" w:rsidRPr="00E31091">
        <w:rPr>
          <w:rFonts w:ascii="Times New Roman" w:hAnsi="Times New Roman" w:cs="Times New Roman"/>
          <w:i/>
          <w:iCs/>
        </w:rPr>
        <w:t>Ibid</w:t>
      </w:r>
      <w:r w:rsidR="00A65DF9" w:rsidRPr="00E31091">
        <w:rPr>
          <w:rFonts w:ascii="Times New Roman" w:hAnsi="Times New Roman" w:cs="Times New Roman"/>
        </w:rPr>
        <w:t xml:space="preserve"> at 733</w:t>
      </w:r>
      <w:r w:rsidR="000769CF">
        <w:rPr>
          <w:rFonts w:ascii="Times New Roman" w:hAnsi="Times New Roman" w:cs="Times New Roman"/>
        </w:rPr>
        <w:t xml:space="preserve">. </w:t>
      </w:r>
    </w:p>
  </w:footnote>
  <w:footnote w:id="10">
    <w:p w14:paraId="4A57F7FF" w14:textId="6C3BBFAF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03377A" w:rsidRPr="00E31091">
        <w:rPr>
          <w:rFonts w:ascii="Times New Roman" w:hAnsi="Times New Roman" w:cs="Times New Roman"/>
          <w:i/>
          <w:iCs/>
          <w:lang w:val="en-US"/>
        </w:rPr>
        <w:t>Ibid</w:t>
      </w:r>
      <w:r w:rsidRPr="00E31091">
        <w:rPr>
          <w:rFonts w:ascii="Times New Roman" w:hAnsi="Times New Roman" w:cs="Times New Roman"/>
          <w:lang w:val="en-US"/>
        </w:rPr>
        <w:t xml:space="preserve"> at 715, 733, 735</w:t>
      </w:r>
      <w:r w:rsidR="00A32475">
        <w:rPr>
          <w:rFonts w:ascii="Times New Roman" w:hAnsi="Times New Roman" w:cs="Times New Roman"/>
          <w:lang w:val="en-US"/>
        </w:rPr>
        <w:t xml:space="preserve">; </w:t>
      </w:r>
      <w:r w:rsidR="00A32475" w:rsidRPr="000779FD">
        <w:rPr>
          <w:rFonts w:ascii="Times New Roman" w:hAnsi="Times New Roman" w:cs="Times New Roman"/>
          <w:i/>
          <w:iCs/>
        </w:rPr>
        <w:t>Canadian Charter of Rights and Freedoms</w:t>
      </w:r>
      <w:r w:rsidR="00A32475" w:rsidRPr="000779FD">
        <w:rPr>
          <w:rFonts w:ascii="Times New Roman" w:hAnsi="Times New Roman" w:cs="Times New Roman"/>
        </w:rPr>
        <w:t>,</w:t>
      </w:r>
      <w:r w:rsidR="00306534">
        <w:rPr>
          <w:rFonts w:ascii="Times New Roman" w:hAnsi="Times New Roman" w:cs="Times New Roman"/>
        </w:rPr>
        <w:t xml:space="preserve"> </w:t>
      </w:r>
      <w:r w:rsidR="00A32475" w:rsidRPr="000779FD">
        <w:rPr>
          <w:rFonts w:ascii="Times New Roman" w:hAnsi="Times New Roman" w:cs="Times New Roman"/>
        </w:rPr>
        <w:t>Part I of the </w:t>
      </w:r>
      <w:r w:rsidR="00A32475" w:rsidRPr="000779FD">
        <w:rPr>
          <w:rFonts w:ascii="Times New Roman" w:hAnsi="Times New Roman" w:cs="Times New Roman"/>
          <w:i/>
          <w:iCs/>
        </w:rPr>
        <w:t>Constitution Act, 1982</w:t>
      </w:r>
      <w:r w:rsidR="00A32475" w:rsidRPr="00AF53CC">
        <w:rPr>
          <w:rFonts w:ascii="Times New Roman" w:hAnsi="Times New Roman" w:cs="Times New Roman"/>
          <w:i/>
          <w:iCs/>
        </w:rPr>
        <w:t>,</w:t>
      </w:r>
      <w:r w:rsidR="00A32475" w:rsidRPr="000779FD">
        <w:rPr>
          <w:rFonts w:ascii="Times New Roman" w:hAnsi="Times New Roman" w:cs="Times New Roman"/>
        </w:rPr>
        <w:t xml:space="preserve"> being Schedule B to the </w:t>
      </w:r>
      <w:r w:rsidR="00A32475" w:rsidRPr="000779FD">
        <w:rPr>
          <w:rFonts w:ascii="Times New Roman" w:hAnsi="Times New Roman" w:cs="Times New Roman"/>
          <w:i/>
          <w:iCs/>
        </w:rPr>
        <w:t>Canada Act 1982</w:t>
      </w:r>
      <w:r w:rsidR="00A32475" w:rsidRPr="000779FD">
        <w:rPr>
          <w:rFonts w:ascii="Times New Roman" w:hAnsi="Times New Roman" w:cs="Times New Roman"/>
        </w:rPr>
        <w:t> (U</w:t>
      </w:r>
      <w:r w:rsidR="00306534">
        <w:rPr>
          <w:rFonts w:ascii="Times New Roman" w:hAnsi="Times New Roman" w:cs="Times New Roman"/>
        </w:rPr>
        <w:t>SA</w:t>
      </w:r>
      <w:r w:rsidR="00A32475" w:rsidRPr="000779FD">
        <w:rPr>
          <w:rFonts w:ascii="Times New Roman" w:hAnsi="Times New Roman" w:cs="Times New Roman"/>
        </w:rPr>
        <w:t>), 1982, c 11</w:t>
      </w:r>
      <w:r w:rsidR="00A123AC">
        <w:rPr>
          <w:rFonts w:ascii="Times New Roman" w:hAnsi="Times New Roman" w:cs="Times New Roman"/>
        </w:rPr>
        <w:t>, s 6</w:t>
      </w:r>
      <w:r w:rsidR="00306534">
        <w:rPr>
          <w:rFonts w:ascii="Times New Roman" w:hAnsi="Times New Roman" w:cs="Times New Roman"/>
        </w:rPr>
        <w:t xml:space="preserve"> </w:t>
      </w:r>
      <w:r w:rsidR="00A32475">
        <w:rPr>
          <w:rFonts w:ascii="Times New Roman" w:hAnsi="Times New Roman" w:cs="Times New Roman"/>
        </w:rPr>
        <w:t>[</w:t>
      </w:r>
      <w:r w:rsidR="00A32475">
        <w:rPr>
          <w:rFonts w:ascii="Times New Roman" w:hAnsi="Times New Roman" w:cs="Times New Roman"/>
          <w:i/>
          <w:iCs/>
        </w:rPr>
        <w:t>Charter</w:t>
      </w:r>
      <w:r w:rsidR="00A32475">
        <w:rPr>
          <w:rFonts w:ascii="Times New Roman" w:hAnsi="Times New Roman" w:cs="Times New Roman"/>
        </w:rPr>
        <w:t>]</w:t>
      </w:r>
      <w:r w:rsidR="00A32475" w:rsidRPr="000779FD">
        <w:rPr>
          <w:rFonts w:ascii="Times New Roman" w:hAnsi="Times New Roman" w:cs="Times New Roman"/>
        </w:rPr>
        <w:t>.</w:t>
      </w:r>
    </w:p>
  </w:footnote>
  <w:footnote w:id="11">
    <w:p w14:paraId="2BD1C063" w14:textId="52AC5AF8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CD21A2">
        <w:rPr>
          <w:rFonts w:ascii="Times New Roman" w:hAnsi="Times New Roman" w:cs="Times New Roman"/>
          <w:i/>
          <w:iCs/>
        </w:rPr>
        <w:t>Chiarelli</w:t>
      </w:r>
      <w:r w:rsidR="00CD21A2" w:rsidRPr="00CD21A2">
        <w:rPr>
          <w:rFonts w:ascii="Times New Roman" w:hAnsi="Times New Roman" w:cs="Times New Roman"/>
        </w:rPr>
        <w:t xml:space="preserve">, </w:t>
      </w:r>
      <w:r w:rsidR="00CD21A2">
        <w:rPr>
          <w:rFonts w:ascii="Times New Roman" w:hAnsi="Times New Roman" w:cs="Times New Roman"/>
          <w:i/>
          <w:iCs/>
        </w:rPr>
        <w:t>supra</w:t>
      </w:r>
      <w:r w:rsidR="00CD21A2" w:rsidRPr="00CD21A2">
        <w:rPr>
          <w:rFonts w:ascii="Times New Roman" w:hAnsi="Times New Roman" w:cs="Times New Roman"/>
        </w:rPr>
        <w:t xml:space="preserve"> note 8</w:t>
      </w:r>
      <w:r w:rsidRPr="00CD21A2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</w:rPr>
        <w:t>at 73</w:t>
      </w:r>
      <w:r w:rsidR="002247D0">
        <w:rPr>
          <w:rFonts w:ascii="Times New Roman" w:hAnsi="Times New Roman" w:cs="Times New Roman"/>
        </w:rPr>
        <w:t>9</w:t>
      </w:r>
      <w:r w:rsidRPr="00E31091">
        <w:rPr>
          <w:rFonts w:ascii="Times New Roman" w:hAnsi="Times New Roman" w:cs="Times New Roman"/>
          <w:lang w:val="en-US"/>
        </w:rPr>
        <w:t>.</w:t>
      </w:r>
    </w:p>
  </w:footnote>
  <w:footnote w:id="12">
    <w:p w14:paraId="28CE6C22" w14:textId="77777777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Ibid</w:t>
      </w:r>
      <w:r w:rsidRPr="00E31091">
        <w:rPr>
          <w:rFonts w:ascii="Times New Roman" w:hAnsi="Times New Roman" w:cs="Times New Roman"/>
          <w:lang w:val="en-US"/>
        </w:rPr>
        <w:t>.</w:t>
      </w:r>
    </w:p>
  </w:footnote>
  <w:footnote w:id="13">
    <w:p w14:paraId="121729D9" w14:textId="77777777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Ibid</w:t>
      </w:r>
      <w:r w:rsidRPr="00E31091">
        <w:rPr>
          <w:rFonts w:ascii="Times New Roman" w:hAnsi="Times New Roman" w:cs="Times New Roman"/>
          <w:lang w:val="en-US"/>
        </w:rPr>
        <w:t>.</w:t>
      </w:r>
    </w:p>
  </w:footnote>
  <w:footnote w:id="14">
    <w:p w14:paraId="09ECEA7A" w14:textId="78F1F82F" w:rsidR="003C5610" w:rsidRPr="003C5610" w:rsidRDefault="003C5610">
      <w:pPr>
        <w:pStyle w:val="FootnoteText"/>
        <w:rPr>
          <w:rFonts w:ascii="Times New Roman" w:hAnsi="Times New Roman" w:cs="Times New Roman"/>
        </w:rPr>
      </w:pPr>
      <w:r w:rsidRPr="003C5610">
        <w:rPr>
          <w:rStyle w:val="FootnoteReference"/>
          <w:rFonts w:ascii="Times New Roman" w:hAnsi="Times New Roman" w:cs="Times New Roman"/>
        </w:rPr>
        <w:footnoteRef/>
      </w:r>
      <w:r w:rsidRPr="003C5610">
        <w:rPr>
          <w:rFonts w:ascii="Times New Roman" w:hAnsi="Times New Roman" w:cs="Times New Roman"/>
        </w:rPr>
        <w:t xml:space="preserve"> </w:t>
      </w:r>
      <w:r w:rsidRPr="003C5610">
        <w:rPr>
          <w:rFonts w:ascii="Times New Roman" w:hAnsi="Times New Roman" w:cs="Times New Roman"/>
          <w:i/>
          <w:iCs/>
        </w:rPr>
        <w:t>Supra</w:t>
      </w:r>
      <w:r w:rsidRPr="003C5610">
        <w:rPr>
          <w:rFonts w:ascii="Times New Roman" w:hAnsi="Times New Roman" w:cs="Times New Roman"/>
        </w:rPr>
        <w:t xml:space="preserve"> notes 10, ss 7,</w:t>
      </w:r>
      <w:r w:rsidR="00E36697">
        <w:rPr>
          <w:rFonts w:ascii="Times New Roman" w:hAnsi="Times New Roman" w:cs="Times New Roman"/>
        </w:rPr>
        <w:t xml:space="preserve"> </w:t>
      </w:r>
      <w:r w:rsidRPr="003C5610">
        <w:rPr>
          <w:rFonts w:ascii="Times New Roman" w:hAnsi="Times New Roman" w:cs="Times New Roman"/>
        </w:rPr>
        <w:t>12,</w:t>
      </w:r>
      <w:r w:rsidR="00E36697">
        <w:rPr>
          <w:rFonts w:ascii="Times New Roman" w:hAnsi="Times New Roman" w:cs="Times New Roman"/>
        </w:rPr>
        <w:t xml:space="preserve"> </w:t>
      </w:r>
      <w:r w:rsidRPr="003C5610">
        <w:rPr>
          <w:rFonts w:ascii="Times New Roman" w:hAnsi="Times New Roman" w:cs="Times New Roman"/>
        </w:rPr>
        <w:t>15.</w:t>
      </w:r>
    </w:p>
  </w:footnote>
  <w:footnote w:id="15">
    <w:p w14:paraId="1DAD26FA" w14:textId="6D0FBEF3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BB5D93">
        <w:rPr>
          <w:rFonts w:ascii="Times New Roman" w:hAnsi="Times New Roman" w:cs="Times New Roman"/>
          <w:i/>
          <w:iCs/>
        </w:rPr>
        <w:t>Chiarelli</w:t>
      </w:r>
      <w:r w:rsidR="00BB5D93" w:rsidRPr="00BB5D93">
        <w:rPr>
          <w:rFonts w:ascii="Times New Roman" w:hAnsi="Times New Roman" w:cs="Times New Roman"/>
        </w:rPr>
        <w:t>,</w:t>
      </w:r>
      <w:r w:rsidR="00E801BA">
        <w:rPr>
          <w:rFonts w:ascii="Times New Roman" w:hAnsi="Times New Roman" w:cs="Times New Roman"/>
        </w:rPr>
        <w:t>,</w:t>
      </w:r>
      <w:r w:rsidR="00BB5D93" w:rsidRPr="00BB5D93">
        <w:rPr>
          <w:rFonts w:ascii="Times New Roman" w:hAnsi="Times New Roman" w:cs="Times New Roman"/>
        </w:rPr>
        <w:t xml:space="preserve"> </w:t>
      </w:r>
      <w:r w:rsidR="00BB5D93">
        <w:rPr>
          <w:rFonts w:ascii="Times New Roman" w:hAnsi="Times New Roman" w:cs="Times New Roman"/>
          <w:i/>
          <w:iCs/>
        </w:rPr>
        <w:t>supra</w:t>
      </w:r>
      <w:r w:rsidR="00BB5D93" w:rsidRPr="00BB5D93">
        <w:rPr>
          <w:rFonts w:ascii="Times New Roman" w:hAnsi="Times New Roman" w:cs="Times New Roman"/>
        </w:rPr>
        <w:t xml:space="preserve"> note </w:t>
      </w:r>
      <w:r w:rsidR="00E801BA">
        <w:rPr>
          <w:rFonts w:ascii="Times New Roman" w:hAnsi="Times New Roman" w:cs="Times New Roman"/>
        </w:rPr>
        <w:t>4</w:t>
      </w:r>
      <w:r w:rsidR="00BB5D93" w:rsidRPr="00BB5D93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</w:rPr>
        <w:t>at 73</w:t>
      </w:r>
      <w:r w:rsidR="003C5610">
        <w:rPr>
          <w:rFonts w:ascii="Times New Roman" w:hAnsi="Times New Roman" w:cs="Times New Roman"/>
        </w:rPr>
        <w:t>4</w:t>
      </w:r>
      <w:r w:rsidR="00041390">
        <w:rPr>
          <w:rFonts w:ascii="Times New Roman" w:hAnsi="Times New Roman" w:cs="Times New Roman"/>
        </w:rPr>
        <w:t>–35</w:t>
      </w:r>
      <w:r w:rsidR="003C5610">
        <w:rPr>
          <w:rFonts w:ascii="Times New Roman" w:hAnsi="Times New Roman" w:cs="Times New Roman"/>
        </w:rPr>
        <w:t>. See also</w:t>
      </w:r>
      <w:r w:rsidRPr="00E31091">
        <w:rPr>
          <w:rFonts w:ascii="Times New Roman" w:hAnsi="Times New Roman" w:cs="Times New Roman"/>
        </w:rPr>
        <w:t xml:space="preserve"> Catherine Dauverge, “How the Charter </w:t>
      </w:r>
      <w:r w:rsidR="006F7EC4">
        <w:rPr>
          <w:rFonts w:ascii="Times New Roman" w:hAnsi="Times New Roman" w:cs="Times New Roman"/>
        </w:rPr>
        <w:t>h</w:t>
      </w:r>
      <w:r w:rsidRPr="00E31091">
        <w:rPr>
          <w:rFonts w:ascii="Times New Roman" w:hAnsi="Times New Roman" w:cs="Times New Roman"/>
        </w:rPr>
        <w:t>as Failed Non-Citizens in Canada: Reviewing Thirty Years of Supreme Court of Canada Jurisprudence” (2013) 58:</w:t>
      </w:r>
      <w:r w:rsidR="00656B76" w:rsidRPr="00E31091">
        <w:rPr>
          <w:rFonts w:ascii="Times New Roman" w:hAnsi="Times New Roman" w:cs="Times New Roman"/>
        </w:rPr>
        <w:t>2</w:t>
      </w:r>
      <w:r w:rsidRPr="00E31091">
        <w:rPr>
          <w:rFonts w:ascii="Times New Roman" w:hAnsi="Times New Roman" w:cs="Times New Roman"/>
        </w:rPr>
        <w:t xml:space="preserve"> McGill LJ 663 at 681.</w:t>
      </w:r>
    </w:p>
  </w:footnote>
  <w:footnote w:id="16">
    <w:p w14:paraId="16BD00B1" w14:textId="537E02E6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Chiarelli,</w:t>
      </w:r>
      <w:r w:rsidRPr="00E31091">
        <w:rPr>
          <w:rFonts w:ascii="Times New Roman" w:hAnsi="Times New Roman" w:cs="Times New Roman"/>
          <w:lang w:val="en-US"/>
        </w:rPr>
        <w:t xml:space="preserve"> </w:t>
      </w:r>
      <w:r w:rsidRPr="00E75982">
        <w:rPr>
          <w:rFonts w:ascii="Times New Roman" w:hAnsi="Times New Roman" w:cs="Times New Roman"/>
          <w:lang w:val="en-US"/>
        </w:rPr>
        <w:t>supra</w:t>
      </w:r>
      <w:r w:rsidRPr="00E31091">
        <w:rPr>
          <w:rFonts w:ascii="Times New Roman" w:hAnsi="Times New Roman" w:cs="Times New Roman"/>
          <w:lang w:val="en-US"/>
        </w:rPr>
        <w:t xml:space="preserve"> note </w:t>
      </w:r>
      <w:r w:rsidR="000C25E3" w:rsidRPr="00E31091">
        <w:rPr>
          <w:rFonts w:ascii="Times New Roman" w:hAnsi="Times New Roman" w:cs="Times New Roman"/>
          <w:lang w:val="en-US"/>
        </w:rPr>
        <w:t>9</w:t>
      </w:r>
      <w:r w:rsidRPr="00E31091">
        <w:rPr>
          <w:rFonts w:ascii="Times New Roman" w:hAnsi="Times New Roman" w:cs="Times New Roman"/>
          <w:lang w:val="en-US"/>
        </w:rPr>
        <w:t xml:space="preserve"> at 736.</w:t>
      </w:r>
    </w:p>
  </w:footnote>
  <w:footnote w:id="17">
    <w:p w14:paraId="6BD03ECB" w14:textId="332C97B1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</w:rPr>
        <w:t>Ibid</w:t>
      </w:r>
      <w:r w:rsidR="003C5610">
        <w:rPr>
          <w:rFonts w:ascii="Times New Roman" w:hAnsi="Times New Roman" w:cs="Times New Roman"/>
        </w:rPr>
        <w:t xml:space="preserve">; </w:t>
      </w:r>
      <w:r w:rsidR="003C5610" w:rsidRPr="003C5610">
        <w:rPr>
          <w:rFonts w:ascii="Times New Roman" w:hAnsi="Times New Roman" w:cs="Times New Roman"/>
          <w:i/>
          <w:iCs/>
        </w:rPr>
        <w:t>Supra</w:t>
      </w:r>
      <w:r w:rsidR="003C5610">
        <w:rPr>
          <w:rFonts w:ascii="Times New Roman" w:hAnsi="Times New Roman" w:cs="Times New Roman"/>
        </w:rPr>
        <w:t xml:space="preserve"> note, 10, s 6. </w:t>
      </w:r>
    </w:p>
  </w:footnote>
  <w:footnote w:id="18">
    <w:p w14:paraId="2F05F04D" w14:textId="4B5B3949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bookmarkStart w:id="3" w:name="_Hlk184995912"/>
      <w:r w:rsidR="0007597F" w:rsidRPr="00E31091">
        <w:rPr>
          <w:rFonts w:ascii="Times New Roman" w:hAnsi="Times New Roman" w:cs="Times New Roman"/>
        </w:rPr>
        <w:t xml:space="preserve">Joshua Blum, </w:t>
      </w:r>
      <w:r w:rsidR="0007597F" w:rsidRPr="00E31091">
        <w:rPr>
          <w:rFonts w:ascii="Times New Roman" w:hAnsi="Times New Roman" w:cs="Times New Roman"/>
          <w:i/>
          <w:iCs/>
        </w:rPr>
        <w:t>The Chiarelli Doctrine: Immigration Exceptionalism and the Canadian Charter of Rights and Freedoms</w:t>
      </w:r>
      <w:r w:rsidR="0007597F" w:rsidRPr="00E31091">
        <w:rPr>
          <w:rFonts w:ascii="Times New Roman" w:hAnsi="Times New Roman" w:cs="Times New Roman"/>
        </w:rPr>
        <w:t xml:space="preserve"> (2021) 54:1 UBC L</w:t>
      </w:r>
      <w:r w:rsidR="00E75982">
        <w:rPr>
          <w:rFonts w:ascii="Times New Roman" w:hAnsi="Times New Roman" w:cs="Times New Roman"/>
        </w:rPr>
        <w:t>aw</w:t>
      </w:r>
      <w:r w:rsidR="0007597F" w:rsidRPr="00E31091">
        <w:rPr>
          <w:rFonts w:ascii="Times New Roman" w:hAnsi="Times New Roman" w:cs="Times New Roman"/>
        </w:rPr>
        <w:t xml:space="preserve"> Rev </w:t>
      </w:r>
      <w:r w:rsidR="0007597F" w:rsidRPr="00E31091">
        <w:rPr>
          <w:rFonts w:ascii="Times New Roman" w:hAnsi="Times New Roman" w:cs="Times New Roman"/>
          <w:lang w:val="en-US"/>
        </w:rPr>
        <w:t xml:space="preserve">1 at </w:t>
      </w:r>
      <w:bookmarkEnd w:id="3"/>
      <w:r w:rsidR="00CF4B4E">
        <w:rPr>
          <w:rFonts w:ascii="Times New Roman" w:hAnsi="Times New Roman" w:cs="Times New Roman"/>
          <w:lang w:val="en-US"/>
        </w:rPr>
        <w:t>41</w:t>
      </w:r>
      <w:r w:rsidRPr="00E31091">
        <w:rPr>
          <w:rFonts w:ascii="Times New Roman" w:hAnsi="Times New Roman" w:cs="Times New Roman"/>
          <w:lang w:val="en-US"/>
        </w:rPr>
        <w:t>.</w:t>
      </w:r>
    </w:p>
  </w:footnote>
  <w:footnote w:id="19">
    <w:p w14:paraId="11E08BDF" w14:textId="4575CEB8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Dauverge, </w:t>
      </w:r>
      <w:r w:rsidRPr="0012111E">
        <w:rPr>
          <w:rFonts w:ascii="Times New Roman" w:hAnsi="Times New Roman" w:cs="Times New Roman"/>
          <w:i/>
          <w:iCs/>
        </w:rPr>
        <w:t>supra</w:t>
      </w:r>
      <w:r w:rsidRPr="00E31091">
        <w:rPr>
          <w:rFonts w:ascii="Times New Roman" w:hAnsi="Times New Roman" w:cs="Times New Roman"/>
        </w:rPr>
        <w:t xml:space="preserve"> note </w:t>
      </w:r>
      <w:r w:rsidR="008E3008" w:rsidRPr="00E31091">
        <w:rPr>
          <w:rFonts w:ascii="Times New Roman" w:hAnsi="Times New Roman" w:cs="Times New Roman"/>
        </w:rPr>
        <w:t>1</w:t>
      </w:r>
      <w:r w:rsidR="000C25E3" w:rsidRPr="00E31091">
        <w:rPr>
          <w:rFonts w:ascii="Times New Roman" w:hAnsi="Times New Roman" w:cs="Times New Roman"/>
        </w:rPr>
        <w:t>3</w:t>
      </w:r>
      <w:r w:rsidRPr="00E31091">
        <w:rPr>
          <w:rFonts w:ascii="Times New Roman" w:hAnsi="Times New Roman" w:cs="Times New Roman"/>
        </w:rPr>
        <w:t xml:space="preserve"> at </w:t>
      </w:r>
      <w:r w:rsidRPr="00E31091">
        <w:rPr>
          <w:rFonts w:ascii="Times New Roman" w:hAnsi="Times New Roman" w:cs="Times New Roman"/>
          <w:lang w:val="en-US"/>
        </w:rPr>
        <w:t>683.</w:t>
      </w:r>
    </w:p>
  </w:footnote>
  <w:footnote w:id="20">
    <w:p w14:paraId="718CAA6B" w14:textId="1AAC62E9" w:rsidR="00E6164F" w:rsidRPr="00E31091" w:rsidRDefault="00E616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2019 FCA 262, leave to appeal refused, 3</w:t>
      </w:r>
      <w:r w:rsidR="000C25E3" w:rsidRPr="00E31091">
        <w:rPr>
          <w:rFonts w:ascii="Times New Roman" w:hAnsi="Times New Roman" w:cs="Times New Roman"/>
        </w:rPr>
        <w:t>6</w:t>
      </w:r>
      <w:r w:rsidRPr="00E31091">
        <w:rPr>
          <w:rFonts w:ascii="Times New Roman" w:hAnsi="Times New Roman" w:cs="Times New Roman"/>
        </w:rPr>
        <w:t>891</w:t>
      </w:r>
      <w:r w:rsidRPr="00E31091">
        <w:rPr>
          <w:rFonts w:ascii="Times New Roman" w:hAnsi="Times New Roman" w:cs="Times New Roman"/>
          <w:lang w:val="en-US"/>
        </w:rPr>
        <w:t xml:space="preserve"> (2 April 202</w:t>
      </w:r>
      <w:r w:rsidR="002247D0">
        <w:rPr>
          <w:rFonts w:ascii="Times New Roman" w:hAnsi="Times New Roman" w:cs="Times New Roman"/>
          <w:lang w:val="en-US"/>
        </w:rPr>
        <w:t>1</w:t>
      </w:r>
      <w:r w:rsidRPr="00E31091">
        <w:rPr>
          <w:rFonts w:ascii="Times New Roman" w:hAnsi="Times New Roman" w:cs="Times New Roman"/>
          <w:lang w:val="en-US"/>
        </w:rPr>
        <w:t>)</w:t>
      </w:r>
      <w:r w:rsidRPr="00E31091">
        <w:rPr>
          <w:rFonts w:ascii="Times New Roman" w:hAnsi="Times New Roman" w:cs="Times New Roman"/>
        </w:rPr>
        <w:t xml:space="preserve"> [</w:t>
      </w:r>
      <w:r w:rsidRPr="00E31091">
        <w:rPr>
          <w:rFonts w:ascii="Times New Roman" w:hAnsi="Times New Roman" w:cs="Times New Roman"/>
          <w:i/>
          <w:iCs/>
        </w:rPr>
        <w:t>Revell</w:t>
      </w:r>
      <w:r w:rsidRPr="00E31091">
        <w:rPr>
          <w:rFonts w:ascii="Times New Roman" w:hAnsi="Times New Roman" w:cs="Times New Roman"/>
        </w:rPr>
        <w:t>]</w:t>
      </w:r>
      <w:r w:rsidR="003C5610">
        <w:rPr>
          <w:rFonts w:ascii="Times New Roman" w:hAnsi="Times New Roman" w:cs="Times New Roman"/>
        </w:rPr>
        <w:t xml:space="preserve">; </w:t>
      </w:r>
      <w:r w:rsidR="003C5610">
        <w:rPr>
          <w:rFonts w:ascii="Times New Roman" w:hAnsi="Times New Roman" w:cs="Times New Roman"/>
          <w:i/>
          <w:iCs/>
        </w:rPr>
        <w:t>S</w:t>
      </w:r>
      <w:r w:rsidR="003C5610" w:rsidRPr="000D484F">
        <w:rPr>
          <w:rFonts w:ascii="Times New Roman" w:hAnsi="Times New Roman" w:cs="Times New Roman"/>
          <w:i/>
          <w:iCs/>
        </w:rPr>
        <w:t>upra</w:t>
      </w:r>
      <w:r w:rsidR="003C5610">
        <w:rPr>
          <w:rFonts w:ascii="Times New Roman" w:hAnsi="Times New Roman" w:cs="Times New Roman"/>
        </w:rPr>
        <w:t xml:space="preserve"> note 10, s 7.</w:t>
      </w:r>
    </w:p>
  </w:footnote>
  <w:footnote w:id="21">
    <w:p w14:paraId="378F5E45" w14:textId="694F175E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IRPA</w:t>
      </w:r>
      <w:r w:rsidRPr="00E31091">
        <w:rPr>
          <w:rFonts w:ascii="Times New Roman" w:hAnsi="Times New Roman" w:cs="Times New Roman"/>
          <w:lang w:val="en-US"/>
        </w:rPr>
        <w:t xml:space="preserve">, </w:t>
      </w:r>
      <w:r w:rsidRPr="00E31091">
        <w:rPr>
          <w:rFonts w:ascii="Times New Roman" w:hAnsi="Times New Roman" w:cs="Times New Roman"/>
          <w:i/>
          <w:iCs/>
          <w:lang w:val="en-US"/>
        </w:rPr>
        <w:t>supra</w:t>
      </w:r>
      <w:r w:rsidRPr="00E31091">
        <w:rPr>
          <w:rFonts w:ascii="Times New Roman" w:hAnsi="Times New Roman" w:cs="Times New Roman"/>
          <w:lang w:val="en-US"/>
        </w:rPr>
        <w:t xml:space="preserve"> note</w:t>
      </w:r>
      <w:r w:rsidR="00765657" w:rsidRPr="00E31091">
        <w:rPr>
          <w:rFonts w:ascii="Times New Roman" w:hAnsi="Times New Roman" w:cs="Times New Roman"/>
          <w:lang w:val="en-US"/>
        </w:rPr>
        <w:t xml:space="preserve"> 4</w:t>
      </w:r>
      <w:r w:rsidRPr="00E31091">
        <w:rPr>
          <w:rFonts w:ascii="Times New Roman" w:hAnsi="Times New Roman" w:cs="Times New Roman"/>
          <w:lang w:val="en-US"/>
        </w:rPr>
        <w:t>, s</w:t>
      </w:r>
      <w:r w:rsidR="000C25E3" w:rsidRPr="00E31091">
        <w:rPr>
          <w:rFonts w:ascii="Times New Roman" w:hAnsi="Times New Roman" w:cs="Times New Roman"/>
          <w:lang w:val="en-US"/>
        </w:rPr>
        <w:t>s</w:t>
      </w:r>
      <w:r w:rsidRPr="00E31091">
        <w:rPr>
          <w:rFonts w:ascii="Times New Roman" w:hAnsi="Times New Roman" w:cs="Times New Roman"/>
          <w:lang w:val="en-US"/>
        </w:rPr>
        <w:t xml:space="preserve"> 74(d).</w:t>
      </w:r>
    </w:p>
  </w:footnote>
  <w:footnote w:id="22">
    <w:p w14:paraId="12204261" w14:textId="4CDB0648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F67E21" w:rsidRPr="00E31091">
        <w:rPr>
          <w:rFonts w:ascii="Times New Roman" w:hAnsi="Times New Roman" w:cs="Times New Roman"/>
          <w:i/>
          <w:iCs/>
        </w:rPr>
        <w:t>Lewis v</w:t>
      </w:r>
      <w:r w:rsidR="006E6E25">
        <w:rPr>
          <w:rFonts w:ascii="Times New Roman" w:hAnsi="Times New Roman" w:cs="Times New Roman"/>
          <w:i/>
          <w:iCs/>
        </w:rPr>
        <w:t>.</w:t>
      </w:r>
      <w:r w:rsidR="00F67E21" w:rsidRPr="00E31091">
        <w:rPr>
          <w:rFonts w:ascii="Times New Roman" w:hAnsi="Times New Roman" w:cs="Times New Roman"/>
          <w:i/>
          <w:iCs/>
        </w:rPr>
        <w:t xml:space="preserve"> Canada (Public Safety and Emergency Preparedness), </w:t>
      </w:r>
      <w:r w:rsidR="00F67E21" w:rsidRPr="00E31091">
        <w:rPr>
          <w:rFonts w:ascii="Times New Roman" w:hAnsi="Times New Roman" w:cs="Times New Roman"/>
        </w:rPr>
        <w:t>2017 FCA 130</w:t>
      </w:r>
      <w:r w:rsidR="00F67E21" w:rsidRPr="00E31091">
        <w:rPr>
          <w:rFonts w:ascii="Times New Roman" w:hAnsi="Times New Roman" w:cs="Times New Roman"/>
          <w:i/>
          <w:iCs/>
        </w:rPr>
        <w:t xml:space="preserve"> </w:t>
      </w:r>
      <w:r w:rsidRPr="00E31091">
        <w:rPr>
          <w:rFonts w:ascii="Times New Roman" w:hAnsi="Times New Roman" w:cs="Times New Roman"/>
        </w:rPr>
        <w:t xml:space="preserve">at para </w:t>
      </w:r>
      <w:r w:rsidR="00656B76" w:rsidRPr="00E31091">
        <w:rPr>
          <w:rFonts w:ascii="Times New Roman" w:hAnsi="Times New Roman" w:cs="Times New Roman"/>
        </w:rPr>
        <w:t>28</w:t>
      </w:r>
      <w:r w:rsidR="00F67E21" w:rsidRPr="00E31091">
        <w:rPr>
          <w:rFonts w:ascii="Times New Roman" w:hAnsi="Times New Roman" w:cs="Times New Roman"/>
        </w:rPr>
        <w:t>.</w:t>
      </w:r>
    </w:p>
  </w:footnote>
  <w:footnote w:id="23">
    <w:p w14:paraId="7A9F3763" w14:textId="5EA53C1B" w:rsidR="000B4E4F" w:rsidRPr="00E31091" w:rsidRDefault="000B4E4F" w:rsidP="000B4E4F">
      <w:pPr>
        <w:pStyle w:val="FootnoteText"/>
        <w:rPr>
          <w:rFonts w:ascii="Times New Roman" w:hAnsi="Times New Roman" w:cs="Times New Roman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="003F04D5" w:rsidRPr="00E31091">
        <w:rPr>
          <w:rFonts w:ascii="Times New Roman" w:hAnsi="Times New Roman" w:cs="Times New Roman"/>
          <w:i/>
          <w:iCs/>
        </w:rPr>
        <w:t>Lunyamila v Canada</w:t>
      </w:r>
      <w:r w:rsidR="003F04D5" w:rsidRPr="00E31091">
        <w:rPr>
          <w:rFonts w:ascii="Times New Roman" w:hAnsi="Times New Roman" w:cs="Times New Roman"/>
        </w:rPr>
        <w:t>, 2018 FCA 22 at para 46</w:t>
      </w:r>
      <w:r w:rsidR="007C50D9">
        <w:rPr>
          <w:rFonts w:ascii="Times New Roman" w:hAnsi="Times New Roman" w:cs="Times New Roman"/>
        </w:rPr>
        <w:t xml:space="preserve">, citing </w:t>
      </w:r>
      <w:r w:rsidRPr="00E31091">
        <w:rPr>
          <w:rFonts w:ascii="Times New Roman" w:hAnsi="Times New Roman" w:cs="Times New Roman"/>
          <w:i/>
          <w:iCs/>
        </w:rPr>
        <w:t xml:space="preserve">Mudrak v Canada </w:t>
      </w:r>
      <w:r w:rsidRPr="002247D0">
        <w:rPr>
          <w:rFonts w:ascii="Times New Roman" w:hAnsi="Times New Roman" w:cs="Times New Roman"/>
        </w:rPr>
        <w:t>(</w:t>
      </w:r>
      <w:r w:rsidRPr="00E31091">
        <w:rPr>
          <w:rFonts w:ascii="Times New Roman" w:hAnsi="Times New Roman" w:cs="Times New Roman"/>
          <w:i/>
          <w:iCs/>
        </w:rPr>
        <w:t>Citizenship and Immigration)</w:t>
      </w:r>
      <w:r w:rsidRPr="00E31091">
        <w:rPr>
          <w:rFonts w:ascii="Times New Roman" w:hAnsi="Times New Roman" w:cs="Times New Roman"/>
        </w:rPr>
        <w:t>, 2016 FCA 178 at 15, 35.</w:t>
      </w:r>
    </w:p>
  </w:footnote>
  <w:footnote w:id="24">
    <w:p w14:paraId="491CBAFD" w14:textId="77777777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</w:rPr>
        <w:t>Canada (Attorney General) v Bedford</w:t>
      </w:r>
      <w:r w:rsidRPr="006E6E25">
        <w:rPr>
          <w:rFonts w:ascii="Times New Roman" w:hAnsi="Times New Roman" w:cs="Times New Roman"/>
          <w:i/>
          <w:iCs/>
        </w:rPr>
        <w:t>,</w:t>
      </w:r>
      <w:r w:rsidRPr="00E31091">
        <w:rPr>
          <w:rFonts w:ascii="Times New Roman" w:hAnsi="Times New Roman" w:cs="Times New Roman"/>
        </w:rPr>
        <w:t xml:space="preserve"> 2013 SCC 72 at para </w:t>
      </w:r>
      <w:r w:rsidRPr="00E31091">
        <w:rPr>
          <w:rFonts w:ascii="Times New Roman" w:hAnsi="Times New Roman" w:cs="Times New Roman"/>
          <w:lang w:val="en-US"/>
        </w:rPr>
        <w:t>44.</w:t>
      </w:r>
    </w:p>
  </w:footnote>
  <w:footnote w:id="25">
    <w:p w14:paraId="6E3E56A5" w14:textId="653A15B1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lang w:val="en-US"/>
        </w:rPr>
        <w:t xml:space="preserve">See the decisions of the Federal Court of Appeal between 2020 and 2024 </w:t>
      </w:r>
      <w:r w:rsidR="00656B76" w:rsidRPr="00E31091">
        <w:rPr>
          <w:rFonts w:ascii="Times New Roman" w:hAnsi="Times New Roman" w:cs="Times New Roman"/>
          <w:lang w:val="en-US"/>
        </w:rPr>
        <w:t>o</w:t>
      </w:r>
      <w:r w:rsidRPr="00E31091">
        <w:rPr>
          <w:rFonts w:ascii="Times New Roman" w:hAnsi="Times New Roman" w:cs="Times New Roman"/>
          <w:lang w:val="en-US"/>
        </w:rPr>
        <w:t xml:space="preserve">n CanLII. </w:t>
      </w:r>
    </w:p>
  </w:footnote>
  <w:footnote w:id="26">
    <w:p w14:paraId="1B39816F" w14:textId="34BA9A5C" w:rsidR="00F1199C" w:rsidRPr="00F1199C" w:rsidRDefault="00F1199C">
      <w:pPr>
        <w:pStyle w:val="FootnoteText"/>
        <w:rPr>
          <w:rFonts w:ascii="Times New Roman" w:hAnsi="Times New Roman" w:cs="Times New Roman"/>
        </w:rPr>
      </w:pPr>
      <w:r w:rsidRPr="00F1199C">
        <w:rPr>
          <w:rStyle w:val="FootnoteReference"/>
          <w:rFonts w:ascii="Times New Roman" w:hAnsi="Times New Roman" w:cs="Times New Roman"/>
        </w:rPr>
        <w:footnoteRef/>
      </w:r>
      <w:r w:rsidRPr="00F1199C">
        <w:rPr>
          <w:rFonts w:ascii="Times New Roman" w:hAnsi="Times New Roman" w:cs="Times New Roman"/>
        </w:rPr>
        <w:t xml:space="preserve"> </w:t>
      </w:r>
      <w:r w:rsidRPr="00F1199C">
        <w:rPr>
          <w:rFonts w:ascii="Times New Roman" w:hAnsi="Times New Roman" w:cs="Times New Roman"/>
          <w:lang w:val="en-US"/>
        </w:rPr>
        <w:t>2021 FCA 15</w:t>
      </w:r>
      <w:r>
        <w:rPr>
          <w:rFonts w:ascii="Times New Roman" w:hAnsi="Times New Roman" w:cs="Times New Roman"/>
          <w:lang w:val="en-US"/>
        </w:rPr>
        <w:t>0</w:t>
      </w:r>
      <w:r w:rsidRPr="00F1199C">
        <w:rPr>
          <w:rFonts w:ascii="Times New Roman" w:hAnsi="Times New Roman" w:cs="Times New Roman"/>
          <w:lang w:val="en-US"/>
        </w:rPr>
        <w:t>.</w:t>
      </w:r>
    </w:p>
  </w:footnote>
  <w:footnote w:id="27">
    <w:p w14:paraId="688EF6DE" w14:textId="7FBD525B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lang w:val="en-US"/>
        </w:rPr>
        <w:t>2021 FCA 72</w:t>
      </w:r>
    </w:p>
  </w:footnote>
  <w:footnote w:id="28">
    <w:p w14:paraId="4FA19776" w14:textId="3EE12515" w:rsidR="000B4E4F" w:rsidRPr="00E31091" w:rsidRDefault="000B4E4F" w:rsidP="000B4E4F">
      <w:pPr>
        <w:pStyle w:val="FootnoteText"/>
        <w:rPr>
          <w:rFonts w:ascii="Times New Roman" w:hAnsi="Times New Roman" w:cs="Times New Roman"/>
          <w:lang w:val="en-US"/>
        </w:rPr>
      </w:pPr>
      <w:r w:rsidRPr="00E31091">
        <w:rPr>
          <w:rStyle w:val="FootnoteReference"/>
          <w:rFonts w:ascii="Times New Roman" w:hAnsi="Times New Roman" w:cs="Times New Roman"/>
        </w:rPr>
        <w:footnoteRef/>
      </w:r>
      <w:r w:rsidRPr="00E31091">
        <w:rPr>
          <w:rFonts w:ascii="Times New Roman" w:hAnsi="Times New Roman" w:cs="Times New Roman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Revell,</w:t>
      </w:r>
      <w:r w:rsidRPr="00E31091">
        <w:rPr>
          <w:rFonts w:ascii="Times New Roman" w:hAnsi="Times New Roman" w:cs="Times New Roman"/>
          <w:lang w:val="en-US"/>
        </w:rPr>
        <w:t xml:space="preserve"> </w:t>
      </w:r>
      <w:r w:rsidRPr="00E31091">
        <w:rPr>
          <w:rFonts w:ascii="Times New Roman" w:hAnsi="Times New Roman" w:cs="Times New Roman"/>
          <w:i/>
          <w:iCs/>
          <w:lang w:val="en-US"/>
        </w:rPr>
        <w:t>supra</w:t>
      </w:r>
      <w:r w:rsidRPr="00E31091">
        <w:rPr>
          <w:rFonts w:ascii="Times New Roman" w:hAnsi="Times New Roman" w:cs="Times New Roman"/>
          <w:lang w:val="en-US"/>
        </w:rPr>
        <w:t xml:space="preserve"> note </w:t>
      </w:r>
      <w:r w:rsidR="008A2746" w:rsidRPr="00E31091">
        <w:rPr>
          <w:rFonts w:ascii="Times New Roman" w:hAnsi="Times New Roman" w:cs="Times New Roman"/>
          <w:lang w:val="en-US"/>
        </w:rPr>
        <w:t>2</w:t>
      </w:r>
      <w:r w:rsidR="003F04D5" w:rsidRPr="00E31091">
        <w:rPr>
          <w:rFonts w:ascii="Times New Roman" w:hAnsi="Times New Roman" w:cs="Times New Roman"/>
          <w:lang w:val="en-US"/>
        </w:rPr>
        <w:t>1</w:t>
      </w:r>
      <w:r w:rsidR="008A2746" w:rsidRPr="00E31091">
        <w:rPr>
          <w:rFonts w:ascii="Times New Roman" w:hAnsi="Times New Roman" w:cs="Times New Roman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9285A"/>
    <w:multiLevelType w:val="hybridMultilevel"/>
    <w:tmpl w:val="BDF4E110"/>
    <w:lvl w:ilvl="0" w:tplc="B9268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1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51"/>
    <w:rsid w:val="000102D7"/>
    <w:rsid w:val="00014655"/>
    <w:rsid w:val="000217E1"/>
    <w:rsid w:val="0003377A"/>
    <w:rsid w:val="0003625D"/>
    <w:rsid w:val="00041390"/>
    <w:rsid w:val="00060578"/>
    <w:rsid w:val="0007597F"/>
    <w:rsid w:val="000764BE"/>
    <w:rsid w:val="000769CF"/>
    <w:rsid w:val="00077E97"/>
    <w:rsid w:val="000B4E4F"/>
    <w:rsid w:val="000C25E3"/>
    <w:rsid w:val="000D18EA"/>
    <w:rsid w:val="000E1C24"/>
    <w:rsid w:val="0012111E"/>
    <w:rsid w:val="00162874"/>
    <w:rsid w:val="00164079"/>
    <w:rsid w:val="00166534"/>
    <w:rsid w:val="0017149E"/>
    <w:rsid w:val="00187F86"/>
    <w:rsid w:val="001903E6"/>
    <w:rsid w:val="001C175E"/>
    <w:rsid w:val="002247D0"/>
    <w:rsid w:val="0022512E"/>
    <w:rsid w:val="0023641B"/>
    <w:rsid w:val="00236825"/>
    <w:rsid w:val="00260BB3"/>
    <w:rsid w:val="00275382"/>
    <w:rsid w:val="002A15F6"/>
    <w:rsid w:val="002C4C01"/>
    <w:rsid w:val="003039BD"/>
    <w:rsid w:val="00306534"/>
    <w:rsid w:val="003341BE"/>
    <w:rsid w:val="00337B25"/>
    <w:rsid w:val="00396600"/>
    <w:rsid w:val="003B3783"/>
    <w:rsid w:val="003C5610"/>
    <w:rsid w:val="003D0261"/>
    <w:rsid w:val="003D2D53"/>
    <w:rsid w:val="003F04D5"/>
    <w:rsid w:val="004159DE"/>
    <w:rsid w:val="00426552"/>
    <w:rsid w:val="00465987"/>
    <w:rsid w:val="00466CD2"/>
    <w:rsid w:val="004952A4"/>
    <w:rsid w:val="00495E7B"/>
    <w:rsid w:val="0050004F"/>
    <w:rsid w:val="005032E9"/>
    <w:rsid w:val="00504C22"/>
    <w:rsid w:val="005115ED"/>
    <w:rsid w:val="00514578"/>
    <w:rsid w:val="005258E1"/>
    <w:rsid w:val="005532D8"/>
    <w:rsid w:val="00563DD4"/>
    <w:rsid w:val="005779C7"/>
    <w:rsid w:val="005A0F35"/>
    <w:rsid w:val="005C7D61"/>
    <w:rsid w:val="005D7159"/>
    <w:rsid w:val="005F1DD6"/>
    <w:rsid w:val="00637325"/>
    <w:rsid w:val="00647E33"/>
    <w:rsid w:val="00656B76"/>
    <w:rsid w:val="00685DB5"/>
    <w:rsid w:val="006B50FB"/>
    <w:rsid w:val="006C5C34"/>
    <w:rsid w:val="006E2990"/>
    <w:rsid w:val="006E35F6"/>
    <w:rsid w:val="006E6E25"/>
    <w:rsid w:val="006F7EC4"/>
    <w:rsid w:val="00712035"/>
    <w:rsid w:val="00714FB0"/>
    <w:rsid w:val="007200FF"/>
    <w:rsid w:val="00720789"/>
    <w:rsid w:val="007344F7"/>
    <w:rsid w:val="00765657"/>
    <w:rsid w:val="00791042"/>
    <w:rsid w:val="00796003"/>
    <w:rsid w:val="007A3AA1"/>
    <w:rsid w:val="007B418D"/>
    <w:rsid w:val="007C2B4B"/>
    <w:rsid w:val="007C50D9"/>
    <w:rsid w:val="007D7490"/>
    <w:rsid w:val="007F53EA"/>
    <w:rsid w:val="00805546"/>
    <w:rsid w:val="00891799"/>
    <w:rsid w:val="008A2746"/>
    <w:rsid w:val="008A40A2"/>
    <w:rsid w:val="008E3008"/>
    <w:rsid w:val="0090484C"/>
    <w:rsid w:val="0094622F"/>
    <w:rsid w:val="00946749"/>
    <w:rsid w:val="0098709C"/>
    <w:rsid w:val="0098794A"/>
    <w:rsid w:val="009C1A3C"/>
    <w:rsid w:val="009E1071"/>
    <w:rsid w:val="009F1D69"/>
    <w:rsid w:val="00A075A3"/>
    <w:rsid w:val="00A123AC"/>
    <w:rsid w:val="00A12929"/>
    <w:rsid w:val="00A32475"/>
    <w:rsid w:val="00A3635A"/>
    <w:rsid w:val="00A65DF9"/>
    <w:rsid w:val="00AC37A6"/>
    <w:rsid w:val="00AF05B6"/>
    <w:rsid w:val="00AF33D0"/>
    <w:rsid w:val="00AF53CC"/>
    <w:rsid w:val="00B00D70"/>
    <w:rsid w:val="00B04C01"/>
    <w:rsid w:val="00B47029"/>
    <w:rsid w:val="00B5153E"/>
    <w:rsid w:val="00B96915"/>
    <w:rsid w:val="00BB04A2"/>
    <w:rsid w:val="00BB2660"/>
    <w:rsid w:val="00BB5D93"/>
    <w:rsid w:val="00BD2B1F"/>
    <w:rsid w:val="00BF5068"/>
    <w:rsid w:val="00C019F5"/>
    <w:rsid w:val="00C02286"/>
    <w:rsid w:val="00C41345"/>
    <w:rsid w:val="00C43FA1"/>
    <w:rsid w:val="00C52800"/>
    <w:rsid w:val="00C72B77"/>
    <w:rsid w:val="00C761CD"/>
    <w:rsid w:val="00C777DE"/>
    <w:rsid w:val="00C8434C"/>
    <w:rsid w:val="00C86CF2"/>
    <w:rsid w:val="00C97881"/>
    <w:rsid w:val="00CC44D2"/>
    <w:rsid w:val="00CC4A13"/>
    <w:rsid w:val="00CD21A2"/>
    <w:rsid w:val="00CD3C42"/>
    <w:rsid w:val="00CE01C9"/>
    <w:rsid w:val="00CE7AA9"/>
    <w:rsid w:val="00CF26FB"/>
    <w:rsid w:val="00CF4B4E"/>
    <w:rsid w:val="00D014FA"/>
    <w:rsid w:val="00D01EE2"/>
    <w:rsid w:val="00D10A04"/>
    <w:rsid w:val="00D15751"/>
    <w:rsid w:val="00D22602"/>
    <w:rsid w:val="00D33AC5"/>
    <w:rsid w:val="00D46BD7"/>
    <w:rsid w:val="00D54652"/>
    <w:rsid w:val="00D568E5"/>
    <w:rsid w:val="00D903B2"/>
    <w:rsid w:val="00D954D8"/>
    <w:rsid w:val="00DB2BEA"/>
    <w:rsid w:val="00DD7B3D"/>
    <w:rsid w:val="00DE2B56"/>
    <w:rsid w:val="00E15BE3"/>
    <w:rsid w:val="00E24552"/>
    <w:rsid w:val="00E27433"/>
    <w:rsid w:val="00E31091"/>
    <w:rsid w:val="00E36697"/>
    <w:rsid w:val="00E6164F"/>
    <w:rsid w:val="00E75982"/>
    <w:rsid w:val="00E801BA"/>
    <w:rsid w:val="00E83B04"/>
    <w:rsid w:val="00E8771C"/>
    <w:rsid w:val="00EA6E1E"/>
    <w:rsid w:val="00EB4C65"/>
    <w:rsid w:val="00EF7397"/>
    <w:rsid w:val="00F1199C"/>
    <w:rsid w:val="00F146E5"/>
    <w:rsid w:val="00F408C1"/>
    <w:rsid w:val="00F67E21"/>
    <w:rsid w:val="00F8690B"/>
    <w:rsid w:val="00F91191"/>
    <w:rsid w:val="00FC0B7C"/>
    <w:rsid w:val="00FE0550"/>
    <w:rsid w:val="00FE1935"/>
    <w:rsid w:val="00FF1686"/>
    <w:rsid w:val="00FF1DF8"/>
    <w:rsid w:val="3BBA9270"/>
    <w:rsid w:val="6918DCB0"/>
    <w:rsid w:val="790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D3E16"/>
  <w15:chartTrackingRefBased/>
  <w15:docId w15:val="{0E324698-718A-4D55-83A0-85C5BCC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2D7"/>
    <w:pPr>
      <w:widowControl w:val="0"/>
      <w:autoSpaceDE w:val="0"/>
      <w:autoSpaceDN w:val="0"/>
      <w:adjustRightInd w:val="0"/>
      <w:spacing w:after="240"/>
      <w:ind w:left="288" w:hanging="288"/>
      <w:outlineLvl w:val="0"/>
    </w:pPr>
    <w:rPr>
      <w:rFonts w:ascii="Arial" w:eastAsiaTheme="minorEastAsia" w:hAnsi="Arial"/>
      <w:kern w:val="24"/>
      <w:sz w:val="32"/>
      <w:szCs w:val="48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22602"/>
    <w:pPr>
      <w:keepNext/>
      <w:keepLines/>
      <w:spacing w:before="40" w:after="240"/>
      <w:outlineLvl w:val="1"/>
    </w:pPr>
    <w:rPr>
      <w:rFonts w:ascii="Arial" w:eastAsiaTheme="majorEastAsia" w:hAnsi="Arial" w:cstheme="majorBidi"/>
      <w:kern w:val="2"/>
      <w:sz w:val="28"/>
      <w:szCs w:val="26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C86CF2"/>
    <w:pPr>
      <w:keepNext/>
      <w:keepLines/>
      <w:spacing w:before="40" w:after="240"/>
      <w:outlineLvl w:val="2"/>
    </w:pPr>
    <w:rPr>
      <w:rFonts w:ascii="Arial" w:eastAsiaTheme="majorEastAsia" w:hAnsi="Arial" w:cstheme="majorBidi"/>
      <w:kern w:val="2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6CF2"/>
    <w:pPr>
      <w:keepNext/>
      <w:keepLines/>
      <w:spacing w:before="40" w:after="240"/>
      <w:outlineLvl w:val="3"/>
    </w:pPr>
    <w:rPr>
      <w:rFonts w:ascii="Arial" w:eastAsiaTheme="majorEastAsia" w:hAnsi="Arial" w:cstheme="majorBidi"/>
      <w:iCs/>
      <w:kern w:val="2"/>
      <w:szCs w:val="22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86CF2"/>
    <w:pPr>
      <w:keepNext/>
      <w:keepLines/>
      <w:spacing w:before="40" w:after="240"/>
      <w:outlineLvl w:val="4"/>
    </w:pPr>
    <w:rPr>
      <w:rFonts w:ascii="Arial" w:eastAsiaTheme="majorEastAsia" w:hAnsi="Arial" w:cstheme="majorBidi"/>
      <w:kern w:val="2"/>
      <w:szCs w:val="22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7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7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7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7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2D7"/>
    <w:rPr>
      <w:rFonts w:ascii="Arial" w:hAnsi="Arial" w:cs="Times New Roman"/>
      <w:kern w:val="24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602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22602"/>
    <w:pPr>
      <w:spacing w:after="240"/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2602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CF2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6CF2"/>
    <w:rPr>
      <w:rFonts w:ascii="Arial" w:eastAsiaTheme="majorEastAsia" w:hAnsi="Arial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CF2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0102D7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7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75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7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751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7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751"/>
    <w:pPr>
      <w:spacing w:before="160" w:after="160"/>
      <w:jc w:val="center"/>
    </w:pPr>
    <w:rPr>
      <w:rFonts w:ascii="Arial" w:eastAsiaTheme="minorEastAsia" w:hAnsi="Arial" w:cstheme="minorBidi"/>
      <w:i/>
      <w:iCs/>
      <w:color w:val="404040" w:themeColor="text1" w:themeTint="BF"/>
      <w:kern w:val="2"/>
      <w:szCs w:val="22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575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15751"/>
    <w:pPr>
      <w:spacing w:after="240"/>
      <w:ind w:left="720"/>
      <w:contextualSpacing/>
    </w:pPr>
    <w:rPr>
      <w:rFonts w:ascii="Arial" w:eastAsiaTheme="minorEastAsia" w:hAnsi="Arial" w:cstheme="minorBidi"/>
      <w:kern w:val="2"/>
      <w:szCs w:val="22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5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EastAsia" w:hAnsi="Arial" w:cstheme="minorBidi"/>
      <w:i/>
      <w:iCs/>
      <w:color w:val="0F4761" w:themeColor="accent1" w:themeShade="BF"/>
      <w:kern w:val="2"/>
      <w:szCs w:val="22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751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157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4E4F"/>
    <w:pPr>
      <w:tabs>
        <w:tab w:val="center" w:pos="4680"/>
        <w:tab w:val="right" w:pos="9360"/>
      </w:tabs>
    </w:pPr>
    <w:rPr>
      <w:rFonts w:ascii="Arial" w:eastAsiaTheme="minorEastAsia" w:hAnsi="Arial" w:cstheme="minorBidi"/>
      <w:kern w:val="2"/>
      <w:szCs w:val="22"/>
      <w:lang w:eastAsia="ko-K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B4E4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B4E4F"/>
    <w:pPr>
      <w:tabs>
        <w:tab w:val="center" w:pos="4680"/>
        <w:tab w:val="right" w:pos="9360"/>
      </w:tabs>
    </w:pPr>
    <w:rPr>
      <w:rFonts w:ascii="Arial" w:eastAsiaTheme="minorEastAsia" w:hAnsi="Arial" w:cstheme="minorBidi"/>
      <w:kern w:val="2"/>
      <w:szCs w:val="22"/>
      <w:lang w:eastAsia="ko-K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B4E4F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4E4F"/>
    <w:rPr>
      <w:rFonts w:ascii="Arial" w:eastAsiaTheme="minorEastAsia" w:hAnsi="Arial" w:cstheme="minorBidi"/>
      <w:kern w:val="2"/>
      <w:sz w:val="20"/>
      <w:szCs w:val="20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4E4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E4F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CF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8a758-d8a4-47fe-a8be-7a585c606f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E663073E20B4CBDF65C2E6BC403B8" ma:contentTypeVersion="10" ma:contentTypeDescription="Create a new document." ma:contentTypeScope="" ma:versionID="92cbbaea7f2e6019e343b334d28788a6">
  <xsd:schema xmlns:xsd="http://www.w3.org/2001/XMLSchema" xmlns:xs="http://www.w3.org/2001/XMLSchema" xmlns:p="http://schemas.microsoft.com/office/2006/metadata/properties" xmlns:ns2="b308a758-d8a4-47fe-a8be-7a585c606f81" targetNamespace="http://schemas.microsoft.com/office/2006/metadata/properties" ma:root="true" ma:fieldsID="b2579fc01a6472b5ac7334f1046cbb8d" ns2:_="">
    <xsd:import namespace="b308a758-d8a4-47fe-a8be-7a585c606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a758-d8a4-47fe-a8be-7a585c60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489762-de54-417b-aa3d-8bc484f7f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0C28-666E-4C2F-9AEE-0B7E3FD07247}">
  <ds:schemaRefs>
    <ds:schemaRef ds:uri="http://schemas.microsoft.com/office/2006/metadata/properties"/>
    <ds:schemaRef ds:uri="http://schemas.microsoft.com/office/infopath/2007/PartnerControls"/>
    <ds:schemaRef ds:uri="b308a758-d8a4-47fe-a8be-7a585c606f81"/>
  </ds:schemaRefs>
</ds:datastoreItem>
</file>

<file path=customXml/itemProps2.xml><?xml version="1.0" encoding="utf-8"?>
<ds:datastoreItem xmlns:ds="http://schemas.openxmlformats.org/officeDocument/2006/customXml" ds:itemID="{EB8794D8-BE1F-4C79-B1D5-40492CBEC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3AA5B-BDA4-44C7-B3A2-AA4FF8718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8a758-d8a4-47fe-a8be-7a585c606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13479-BEC2-4F7B-B092-DCE2C39B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1430</Words>
  <Characters>7751</Characters>
  <Application>Microsoft Office Word</Application>
  <DocSecurity>0</DocSecurity>
  <Lines>189</Lines>
  <Paragraphs>95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Son</dc:creator>
  <cp:keywords/>
  <dc:description/>
  <cp:lastModifiedBy>Catherine Roy</cp:lastModifiedBy>
  <cp:revision>4</cp:revision>
  <dcterms:created xsi:type="dcterms:W3CDTF">2025-01-31T22:22:00Z</dcterms:created>
  <dcterms:modified xsi:type="dcterms:W3CDTF">2026-01-29T20:24:00Z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0x010100405E663073E20B4CBDF65C2E6BC403B8</vt:lpwstr>
  </property>
</Properties>
</file>